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7A2" w:rsidRPr="00FB07A2" w:rsidRDefault="00FB07A2" w:rsidP="00FB07A2">
      <w:pPr>
        <w:pStyle w:val="Heading1"/>
        <w:rPr>
          <w:rFonts w:asciiTheme="majorBidi" w:hAnsiTheme="majorBidi" w:cstheme="majorBidi"/>
          <w:sz w:val="28"/>
          <w:szCs w:val="28"/>
        </w:rPr>
      </w:pPr>
      <w:r w:rsidRPr="00FB07A2">
        <w:rPr>
          <w:rFonts w:asciiTheme="majorBidi" w:hAnsiTheme="majorBidi" w:cstheme="majorBidi"/>
          <w:sz w:val="28"/>
          <w:szCs w:val="28"/>
        </w:rPr>
        <w:t xml:space="preserve">Practical </w:t>
      </w:r>
      <w:proofErr w:type="gramStart"/>
      <w:r w:rsidRPr="00FB07A2">
        <w:rPr>
          <w:rFonts w:asciiTheme="majorBidi" w:hAnsiTheme="majorBidi" w:cstheme="majorBidi"/>
          <w:sz w:val="28"/>
          <w:szCs w:val="28"/>
        </w:rPr>
        <w:t>And</w:t>
      </w:r>
      <w:proofErr w:type="gramEnd"/>
      <w:r w:rsidRPr="00FB07A2">
        <w:rPr>
          <w:rFonts w:asciiTheme="majorBidi" w:hAnsiTheme="majorBidi" w:cstheme="majorBidi"/>
          <w:sz w:val="28"/>
          <w:szCs w:val="28"/>
        </w:rPr>
        <w:t xml:space="preserve"> Affordable Hedging Strategies </w:t>
      </w:r>
    </w:p>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t xml:space="preserve">By </w:t>
      </w:r>
      <w:hyperlink r:id="rId5" w:history="1">
        <w:r w:rsidRPr="00FB07A2">
          <w:rPr>
            <w:rStyle w:val="Hyperlink"/>
            <w:rFonts w:asciiTheme="majorBidi" w:hAnsiTheme="majorBidi" w:cstheme="majorBidi"/>
            <w:sz w:val="28"/>
            <w:szCs w:val="28"/>
          </w:rPr>
          <w:t>Tristan Yates</w:t>
        </w:r>
      </w:hyperlink>
      <w:r w:rsidRPr="00FB07A2">
        <w:rPr>
          <w:rFonts w:asciiTheme="majorBidi" w:hAnsiTheme="majorBidi" w:cstheme="majorBidi"/>
          <w:sz w:val="28"/>
          <w:szCs w:val="28"/>
        </w:rPr>
        <w:t xml:space="preserve"> on August 22, 2012 </w:t>
      </w:r>
      <w:hyperlink r:id="rId6" w:history="1">
        <w:r w:rsidRPr="00FB07A2">
          <w:rPr>
            <w:rStyle w:val="Hyperlink"/>
            <w:rFonts w:asciiTheme="majorBidi" w:hAnsiTheme="majorBidi" w:cstheme="majorBidi"/>
            <w:sz w:val="28"/>
            <w:szCs w:val="28"/>
          </w:rPr>
          <w:t> </w:t>
        </w:r>
      </w:hyperlink>
      <w:r w:rsidRPr="00FB07A2">
        <w:rPr>
          <w:rFonts w:asciiTheme="majorBidi" w:hAnsiTheme="majorBidi" w:cstheme="majorBidi"/>
          <w:sz w:val="28"/>
          <w:szCs w:val="28"/>
        </w:rPr>
        <w:t xml:space="preserve"> </w:t>
      </w:r>
      <w:r w:rsidRPr="00FB07A2">
        <w:rPr>
          <w:rStyle w:val="small"/>
          <w:rFonts w:asciiTheme="majorBidi" w:hAnsiTheme="majorBidi" w:cstheme="majorBidi"/>
          <w:sz w:val="28"/>
          <w:szCs w:val="28"/>
        </w:rPr>
        <w:t>A</w:t>
      </w:r>
      <w:r w:rsidRPr="00FB07A2">
        <w:rPr>
          <w:rFonts w:asciiTheme="majorBidi" w:hAnsiTheme="majorBidi" w:cstheme="majorBidi"/>
          <w:sz w:val="28"/>
          <w:szCs w:val="28"/>
        </w:rPr>
        <w:t xml:space="preserve"> </w:t>
      </w:r>
      <w:proofErr w:type="spellStart"/>
      <w:r w:rsidRPr="00FB07A2">
        <w:rPr>
          <w:rStyle w:val="medium"/>
          <w:rFonts w:asciiTheme="majorBidi" w:hAnsiTheme="majorBidi" w:cstheme="majorBidi"/>
          <w:sz w:val="28"/>
          <w:szCs w:val="28"/>
        </w:rPr>
        <w:t>A</w:t>
      </w:r>
      <w:proofErr w:type="spellEnd"/>
      <w:r w:rsidRPr="00FB07A2">
        <w:rPr>
          <w:rFonts w:asciiTheme="majorBidi" w:hAnsiTheme="majorBidi" w:cstheme="majorBidi"/>
          <w:sz w:val="28"/>
          <w:szCs w:val="28"/>
        </w:rPr>
        <w:t xml:space="preserve"> </w:t>
      </w:r>
      <w:proofErr w:type="spellStart"/>
      <w:r w:rsidRPr="00FB07A2">
        <w:rPr>
          <w:rStyle w:val="large"/>
          <w:rFonts w:asciiTheme="majorBidi" w:hAnsiTheme="majorBidi" w:cstheme="majorBidi"/>
          <w:sz w:val="28"/>
          <w:szCs w:val="28"/>
        </w:rPr>
        <w:t>A</w:t>
      </w:r>
      <w:proofErr w:type="spellEnd"/>
      <w:r w:rsidRPr="00FB07A2">
        <w:rPr>
          <w:rFonts w:asciiTheme="majorBidi" w:hAnsiTheme="majorBidi" w:cstheme="majorBidi"/>
          <w:sz w:val="28"/>
          <w:szCs w:val="28"/>
        </w:rPr>
        <w:t xml:space="preserve"> </w:t>
      </w:r>
    </w:p>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i/>
          <w:iCs/>
          <w:sz w:val="28"/>
          <w:szCs w:val="28"/>
        </w:rPr>
        <w:t xml:space="preserve">Filed Under: </w:t>
      </w:r>
      <w:hyperlink r:id="rId7" w:tooltip="ETFs offer yet another way to track an index. Find out what they have to offer, and what's at stake." w:history="1">
        <w:r w:rsidRPr="00FB07A2">
          <w:rPr>
            <w:rStyle w:val="Hyperlink"/>
            <w:rFonts w:asciiTheme="majorBidi" w:hAnsiTheme="majorBidi" w:cstheme="majorBidi"/>
            <w:sz w:val="28"/>
            <w:szCs w:val="28"/>
          </w:rPr>
          <w:t>ETFs</w:t>
        </w:r>
      </w:hyperlink>
      <w:r w:rsidRPr="00FB07A2">
        <w:rPr>
          <w:rFonts w:asciiTheme="majorBidi" w:hAnsiTheme="majorBidi" w:cstheme="majorBidi"/>
          <w:sz w:val="28"/>
          <w:szCs w:val="28"/>
        </w:rPr>
        <w:t xml:space="preserve">, </w:t>
      </w:r>
      <w:hyperlink r:id="rId8" w:tooltip="If you are a hedger or a speculator, this market offers a world of profit-making opportunities." w:history="1">
        <w:r w:rsidRPr="00FB07A2">
          <w:rPr>
            <w:rStyle w:val="Hyperlink"/>
            <w:rFonts w:asciiTheme="majorBidi" w:hAnsiTheme="majorBidi" w:cstheme="majorBidi"/>
            <w:sz w:val="28"/>
            <w:szCs w:val="28"/>
          </w:rPr>
          <w:t>Futures</w:t>
        </w:r>
      </w:hyperlink>
      <w:r w:rsidRPr="00FB07A2">
        <w:rPr>
          <w:rFonts w:asciiTheme="majorBidi" w:hAnsiTheme="majorBidi" w:cstheme="majorBidi"/>
          <w:sz w:val="28"/>
          <w:szCs w:val="28"/>
        </w:rPr>
        <w:t xml:space="preserve">, </w:t>
      </w:r>
      <w:hyperlink r:id="rId9" w:tooltip="" w:history="1">
        <w:r w:rsidRPr="00FB07A2">
          <w:rPr>
            <w:rStyle w:val="Hyperlink"/>
            <w:rFonts w:asciiTheme="majorBidi" w:hAnsiTheme="majorBidi" w:cstheme="majorBidi"/>
            <w:sz w:val="28"/>
            <w:szCs w:val="28"/>
          </w:rPr>
          <w:t>Hedging</w:t>
        </w:r>
      </w:hyperlink>
      <w:r w:rsidRPr="00FB07A2">
        <w:rPr>
          <w:rFonts w:asciiTheme="majorBidi" w:hAnsiTheme="majorBidi" w:cstheme="majorBidi"/>
          <w:sz w:val="28"/>
          <w:szCs w:val="28"/>
        </w:rPr>
        <w:t xml:space="preserve">, </w:t>
      </w:r>
      <w:hyperlink r:id="rId10" w:tooltip="An option strategy outlines the rules for making trade entries, exits and money management. Option strategies can be quite lucrative and can often reward the trader with significant profit." w:history="1">
        <w:r w:rsidRPr="00FB07A2">
          <w:rPr>
            <w:rStyle w:val="Hyperlink"/>
            <w:rFonts w:asciiTheme="majorBidi" w:hAnsiTheme="majorBidi" w:cstheme="majorBidi"/>
            <w:sz w:val="28"/>
            <w:szCs w:val="28"/>
          </w:rPr>
          <w:t>Option Strategy</w:t>
        </w:r>
      </w:hyperlink>
      <w:r w:rsidRPr="00FB07A2">
        <w:rPr>
          <w:rFonts w:asciiTheme="majorBidi" w:hAnsiTheme="majorBidi" w:cstheme="majorBidi"/>
          <w:sz w:val="28"/>
          <w:szCs w:val="28"/>
        </w:rPr>
        <w:t xml:space="preserve">, </w:t>
      </w:r>
      <w:hyperlink r:id="rId11" w:tooltip="Learn about how options work, how they are useful and why you might consider adding them to your portfolio." w:history="1">
        <w:r w:rsidRPr="00FB07A2">
          <w:rPr>
            <w:rStyle w:val="Hyperlink"/>
            <w:rFonts w:asciiTheme="majorBidi" w:hAnsiTheme="majorBidi" w:cstheme="majorBidi"/>
            <w:sz w:val="28"/>
            <w:szCs w:val="28"/>
          </w:rPr>
          <w:t>Options</w:t>
        </w:r>
      </w:hyperlink>
      <w:r w:rsidRPr="00FB07A2">
        <w:rPr>
          <w:rFonts w:asciiTheme="majorBidi" w:hAnsiTheme="majorBidi" w:cstheme="majorBidi"/>
          <w:sz w:val="28"/>
          <w:szCs w:val="28"/>
        </w:rPr>
        <w:t xml:space="preserve">, </w:t>
      </w:r>
      <w:hyperlink r:id="rId12" w:tooltip="Its important to ensure that your portfolio contains the proper mix of investments that have a different degree of risk and reward." w:history="1">
        <w:r w:rsidRPr="00FB07A2">
          <w:rPr>
            <w:rStyle w:val="Hyperlink"/>
            <w:rFonts w:asciiTheme="majorBidi" w:hAnsiTheme="majorBidi" w:cstheme="majorBidi"/>
            <w:sz w:val="28"/>
            <w:szCs w:val="28"/>
          </w:rPr>
          <w:t>Portfolio Management</w:t>
        </w:r>
      </w:hyperlink>
      <w:r w:rsidRPr="00FB07A2">
        <w:rPr>
          <w:rFonts w:asciiTheme="majorBidi" w:hAnsiTheme="majorBidi" w:cstheme="majorBidi"/>
          <w:sz w:val="28"/>
          <w:szCs w:val="28"/>
        </w:rPr>
        <w:t xml:space="preserve"> </w:t>
      </w:r>
    </w:p>
    <w:p w:rsidR="00FB07A2" w:rsidRPr="00FB07A2" w:rsidRDefault="00FB07A2" w:rsidP="00FB07A2">
      <w:pPr>
        <w:bidi w:val="0"/>
        <w:spacing w:after="240"/>
        <w:jc w:val="left"/>
        <w:rPr>
          <w:rFonts w:asciiTheme="majorBidi" w:hAnsiTheme="majorBidi" w:cstheme="majorBidi"/>
          <w:sz w:val="28"/>
          <w:szCs w:val="28"/>
        </w:rPr>
      </w:pPr>
      <w:hyperlink r:id="rId13" w:history="1">
        <w:r w:rsidRPr="00FB07A2">
          <w:rPr>
            <w:rStyle w:val="Hyperlink"/>
            <w:rFonts w:asciiTheme="majorBidi" w:hAnsiTheme="majorBidi" w:cstheme="majorBidi"/>
            <w:sz w:val="28"/>
            <w:szCs w:val="28"/>
          </w:rPr>
          <w:t>Hedging</w:t>
        </w:r>
      </w:hyperlink>
      <w:r w:rsidRPr="00FB07A2">
        <w:rPr>
          <w:rFonts w:asciiTheme="majorBidi" w:hAnsiTheme="majorBidi" w:cstheme="majorBidi"/>
          <w:sz w:val="28"/>
          <w:szCs w:val="28"/>
        </w:rPr>
        <w:t xml:space="preserve"> is the practice of purchasing and holding securities specifically to reduce portfolio risk. These securities are intended to move in a different direction than the remainder of the portfolio - for example, appreciating when other investments decline. A </w:t>
      </w:r>
      <w:hyperlink r:id="rId14" w:history="1">
        <w:r w:rsidRPr="00FB07A2">
          <w:rPr>
            <w:rStyle w:val="Hyperlink"/>
            <w:rFonts w:asciiTheme="majorBidi" w:hAnsiTheme="majorBidi" w:cstheme="majorBidi"/>
            <w:sz w:val="28"/>
            <w:szCs w:val="28"/>
          </w:rPr>
          <w:t>put option</w:t>
        </w:r>
      </w:hyperlink>
      <w:r w:rsidRPr="00FB07A2">
        <w:rPr>
          <w:rFonts w:asciiTheme="majorBidi" w:hAnsiTheme="majorBidi" w:cstheme="majorBidi"/>
          <w:sz w:val="28"/>
          <w:szCs w:val="28"/>
        </w:rPr>
        <w:t xml:space="preserve"> on a stock or index is the classic hedging instrument. </w:t>
      </w:r>
      <w:r w:rsidRPr="00FB07A2">
        <w:rPr>
          <w:rFonts w:asciiTheme="majorBidi" w:hAnsiTheme="majorBidi" w:cstheme="majorBidi"/>
          <w:sz w:val="28"/>
          <w:szCs w:val="28"/>
        </w:rPr>
        <w:br/>
      </w:r>
      <w:r w:rsidRPr="00FB07A2">
        <w:rPr>
          <w:rFonts w:asciiTheme="majorBidi" w:hAnsiTheme="majorBidi" w:cstheme="majorBidi"/>
          <w:sz w:val="28"/>
          <w:szCs w:val="28"/>
        </w:rPr>
        <w:br/>
        <w:t>When properly done, hedging significantly reduces the uncertainty and the amount of capital at risk in an investment, without significantly reducing the potential rate of return.</w:t>
      </w:r>
      <w:r w:rsidRPr="00FB07A2">
        <w:rPr>
          <w:rFonts w:asciiTheme="majorBidi" w:hAnsiTheme="majorBidi" w:cstheme="majorBidi"/>
          <w:sz w:val="28"/>
          <w:szCs w:val="28"/>
        </w:rPr>
        <w:br/>
      </w:r>
      <w:r w:rsidRPr="00FB07A2">
        <w:rPr>
          <w:rFonts w:asciiTheme="majorBidi" w:hAnsiTheme="majorBidi" w:cstheme="majorBidi"/>
          <w:sz w:val="28"/>
          <w:szCs w:val="28"/>
        </w:rPr>
        <w:br/>
      </w:r>
      <w:r w:rsidRPr="00FB07A2">
        <w:rPr>
          <w:rStyle w:val="Strong"/>
          <w:rFonts w:asciiTheme="majorBidi" w:hAnsiTheme="majorBidi" w:cstheme="majorBidi"/>
          <w:sz w:val="28"/>
          <w:szCs w:val="28"/>
        </w:rPr>
        <w:t xml:space="preserve">How </w:t>
      </w:r>
      <w:proofErr w:type="gramStart"/>
      <w:r w:rsidRPr="00FB07A2">
        <w:rPr>
          <w:rStyle w:val="Strong"/>
          <w:rFonts w:asciiTheme="majorBidi" w:hAnsiTheme="majorBidi" w:cstheme="majorBidi"/>
          <w:sz w:val="28"/>
          <w:szCs w:val="28"/>
        </w:rPr>
        <w:t>It's</w:t>
      </w:r>
      <w:proofErr w:type="gramEnd"/>
      <w:r w:rsidRPr="00FB07A2">
        <w:rPr>
          <w:rStyle w:val="Strong"/>
          <w:rFonts w:asciiTheme="majorBidi" w:hAnsiTheme="majorBidi" w:cstheme="majorBidi"/>
          <w:sz w:val="28"/>
          <w:szCs w:val="28"/>
        </w:rPr>
        <w:t xml:space="preserve"> Done</w:t>
      </w:r>
      <w:r w:rsidRPr="00FB07A2">
        <w:rPr>
          <w:rFonts w:asciiTheme="majorBidi" w:hAnsiTheme="majorBidi" w:cstheme="majorBidi"/>
          <w:b/>
          <w:bCs/>
          <w:sz w:val="28"/>
          <w:szCs w:val="28"/>
        </w:rPr>
        <w:br/>
      </w:r>
      <w:r w:rsidRPr="00FB07A2">
        <w:rPr>
          <w:rFonts w:asciiTheme="majorBidi" w:hAnsiTheme="majorBidi" w:cstheme="majorBidi"/>
          <w:sz w:val="28"/>
          <w:szCs w:val="28"/>
        </w:rPr>
        <w:t>Hedging may sound like a cautious approach to investing, destined to provide sub-market returns, but it is often the most aggressive investors who hedge. By reducing the risk in one part of a portfolio, an investor can often take on more risk elsewhere, increasing his or her absolute returns while putting less capital at risk in each individual investment.</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Hedging is also used to help ensure that investors can meet future </w:t>
      </w:r>
      <w:hyperlink r:id="rId15" w:history="1">
        <w:r w:rsidRPr="00FB07A2">
          <w:rPr>
            <w:rStyle w:val="Hyperlink"/>
            <w:rFonts w:asciiTheme="majorBidi" w:hAnsiTheme="majorBidi" w:cstheme="majorBidi"/>
            <w:sz w:val="28"/>
            <w:szCs w:val="28"/>
          </w:rPr>
          <w:t>repayment</w:t>
        </w:r>
      </w:hyperlink>
      <w:r w:rsidRPr="00FB07A2">
        <w:rPr>
          <w:rFonts w:asciiTheme="majorBidi" w:hAnsiTheme="majorBidi" w:cstheme="majorBidi"/>
          <w:sz w:val="28"/>
          <w:szCs w:val="28"/>
        </w:rPr>
        <w:t xml:space="preserve"> obligations. For example, if an investment is made with borrowed money, a hedge should be in place to make sure that the debt can be repaid. Or, if a </w:t>
      </w:r>
      <w:hyperlink r:id="rId16" w:history="1">
        <w:r w:rsidRPr="00FB07A2">
          <w:rPr>
            <w:rStyle w:val="Hyperlink"/>
            <w:rFonts w:asciiTheme="majorBidi" w:hAnsiTheme="majorBidi" w:cstheme="majorBidi"/>
            <w:sz w:val="28"/>
            <w:szCs w:val="28"/>
          </w:rPr>
          <w:t>pension fund</w:t>
        </w:r>
      </w:hyperlink>
      <w:r w:rsidRPr="00FB07A2">
        <w:rPr>
          <w:rFonts w:asciiTheme="majorBidi" w:hAnsiTheme="majorBidi" w:cstheme="majorBidi"/>
          <w:sz w:val="28"/>
          <w:szCs w:val="28"/>
        </w:rPr>
        <w:t xml:space="preserve"> has future liabilities, then it is only responsible for hedging the portfolio against catastrophic loss. </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SEE: </w:t>
      </w:r>
      <w:hyperlink r:id="rId17" w:history="1">
        <w:r w:rsidRPr="00FB07A2">
          <w:rPr>
            <w:rStyle w:val="Hyperlink"/>
            <w:rFonts w:asciiTheme="majorBidi" w:hAnsiTheme="majorBidi" w:cstheme="majorBidi"/>
            <w:sz w:val="28"/>
            <w:szCs w:val="28"/>
          </w:rPr>
          <w:t xml:space="preserve">A Beginner's Guide </w:t>
        </w:r>
        <w:proofErr w:type="gramStart"/>
        <w:r w:rsidRPr="00FB07A2">
          <w:rPr>
            <w:rStyle w:val="Hyperlink"/>
            <w:rFonts w:asciiTheme="majorBidi" w:hAnsiTheme="majorBidi" w:cstheme="majorBidi"/>
            <w:sz w:val="28"/>
            <w:szCs w:val="28"/>
          </w:rPr>
          <w:t>To</w:t>
        </w:r>
        <w:proofErr w:type="gramEnd"/>
        <w:r w:rsidRPr="00FB07A2">
          <w:rPr>
            <w:rStyle w:val="Hyperlink"/>
            <w:rFonts w:asciiTheme="majorBidi" w:hAnsiTheme="majorBidi" w:cstheme="majorBidi"/>
            <w:sz w:val="28"/>
            <w:szCs w:val="28"/>
          </w:rPr>
          <w:t xml:space="preserve"> Hedging</w:t>
        </w:r>
      </w:hyperlink>
      <w:r w:rsidRPr="00FB07A2">
        <w:rPr>
          <w:rFonts w:asciiTheme="majorBidi" w:hAnsiTheme="majorBidi" w:cstheme="majorBidi"/>
          <w:sz w:val="28"/>
          <w:szCs w:val="28"/>
        </w:rPr>
        <w:br/>
      </w:r>
      <w:r w:rsidRPr="00FB07A2">
        <w:rPr>
          <w:rFonts w:asciiTheme="majorBidi" w:hAnsiTheme="majorBidi" w:cstheme="majorBidi"/>
          <w:sz w:val="28"/>
          <w:szCs w:val="28"/>
        </w:rPr>
        <w:br/>
      </w:r>
      <w:r w:rsidRPr="00FB07A2">
        <w:rPr>
          <w:rStyle w:val="Strong"/>
          <w:rFonts w:asciiTheme="majorBidi" w:hAnsiTheme="majorBidi" w:cstheme="majorBidi"/>
          <w:sz w:val="28"/>
          <w:szCs w:val="28"/>
        </w:rPr>
        <w:t>Downside Risk</w:t>
      </w:r>
      <w:r w:rsidRPr="00FB07A2">
        <w:rPr>
          <w:rFonts w:asciiTheme="majorBidi" w:hAnsiTheme="majorBidi" w:cstheme="majorBidi"/>
          <w:b/>
          <w:bCs/>
          <w:sz w:val="28"/>
          <w:szCs w:val="28"/>
        </w:rPr>
        <w:br/>
      </w:r>
      <w:r w:rsidRPr="00FB07A2">
        <w:rPr>
          <w:rFonts w:asciiTheme="majorBidi" w:hAnsiTheme="majorBidi" w:cstheme="majorBidi"/>
          <w:sz w:val="28"/>
          <w:szCs w:val="28"/>
        </w:rPr>
        <w:t xml:space="preserve">The pricing of hedging instruments is related to the potential </w:t>
      </w:r>
      <w:hyperlink r:id="rId18" w:history="1">
        <w:r w:rsidRPr="00FB07A2">
          <w:rPr>
            <w:rStyle w:val="Hyperlink"/>
            <w:rFonts w:asciiTheme="majorBidi" w:hAnsiTheme="majorBidi" w:cstheme="majorBidi"/>
            <w:sz w:val="28"/>
            <w:szCs w:val="28"/>
          </w:rPr>
          <w:t>downside risk</w:t>
        </w:r>
      </w:hyperlink>
      <w:r w:rsidRPr="00FB07A2">
        <w:rPr>
          <w:rFonts w:asciiTheme="majorBidi" w:hAnsiTheme="majorBidi" w:cstheme="majorBidi"/>
          <w:sz w:val="28"/>
          <w:szCs w:val="28"/>
        </w:rPr>
        <w:t xml:space="preserve"> in the underlying security. As a rule, the more downside risk the purchaser of the hedge seeks to transfer to the seller, the more expensive the hedge will be.</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Downside risk, and consequently option pricing, is primarily a function of time and </w:t>
      </w:r>
      <w:hyperlink r:id="rId19" w:history="1">
        <w:r w:rsidRPr="00FB07A2">
          <w:rPr>
            <w:rStyle w:val="Hyperlink"/>
            <w:rFonts w:asciiTheme="majorBidi" w:hAnsiTheme="majorBidi" w:cstheme="majorBidi"/>
            <w:sz w:val="28"/>
            <w:szCs w:val="28"/>
          </w:rPr>
          <w:t>volatility</w:t>
        </w:r>
      </w:hyperlink>
      <w:r w:rsidRPr="00FB07A2">
        <w:rPr>
          <w:rFonts w:asciiTheme="majorBidi" w:hAnsiTheme="majorBidi" w:cstheme="majorBidi"/>
          <w:sz w:val="28"/>
          <w:szCs w:val="28"/>
        </w:rPr>
        <w:t xml:space="preserve">. The reasoning is that if a security is capable of significant price movements on a daily basis, then an option on that security that expires weeks, </w:t>
      </w:r>
      <w:r w:rsidRPr="00FB07A2">
        <w:rPr>
          <w:rFonts w:asciiTheme="majorBidi" w:hAnsiTheme="majorBidi" w:cstheme="majorBidi"/>
          <w:sz w:val="28"/>
          <w:szCs w:val="28"/>
        </w:rPr>
        <w:lastRenderedPageBreak/>
        <w:t>months or years in the future will be highly risky, and therefore, costly.</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On the other hand, if the security is relatively stable on a daily basis, there is less downside risk, and the option will be less expensive. This is why correlated securities are sometimes used for hedging. If an individual </w:t>
      </w:r>
      <w:hyperlink r:id="rId20" w:history="1">
        <w:r w:rsidRPr="00FB07A2">
          <w:rPr>
            <w:rStyle w:val="Hyperlink"/>
            <w:rFonts w:asciiTheme="majorBidi" w:hAnsiTheme="majorBidi" w:cstheme="majorBidi"/>
            <w:sz w:val="28"/>
            <w:szCs w:val="28"/>
          </w:rPr>
          <w:t>small cap</w:t>
        </w:r>
      </w:hyperlink>
      <w:r w:rsidRPr="00FB07A2">
        <w:rPr>
          <w:rFonts w:asciiTheme="majorBidi" w:hAnsiTheme="majorBidi" w:cstheme="majorBidi"/>
          <w:sz w:val="28"/>
          <w:szCs w:val="28"/>
        </w:rPr>
        <w:t xml:space="preserve"> stock is too volatile to hedge affordably, an investor could hedge with the </w:t>
      </w:r>
      <w:hyperlink r:id="rId21" w:history="1">
        <w:r w:rsidRPr="00FB07A2">
          <w:rPr>
            <w:rStyle w:val="Hyperlink"/>
            <w:rFonts w:asciiTheme="majorBidi" w:hAnsiTheme="majorBidi" w:cstheme="majorBidi"/>
            <w:sz w:val="28"/>
            <w:szCs w:val="28"/>
          </w:rPr>
          <w:t>Russell 2000</w:t>
        </w:r>
      </w:hyperlink>
      <w:r w:rsidRPr="00FB07A2">
        <w:rPr>
          <w:rFonts w:asciiTheme="majorBidi" w:hAnsiTheme="majorBidi" w:cstheme="majorBidi"/>
          <w:sz w:val="28"/>
          <w:szCs w:val="28"/>
        </w:rPr>
        <w:t>, a small cap index, instead.</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The </w:t>
      </w:r>
      <w:hyperlink r:id="rId22" w:history="1">
        <w:r w:rsidRPr="00FB07A2">
          <w:rPr>
            <w:rStyle w:val="Hyperlink"/>
            <w:rFonts w:asciiTheme="majorBidi" w:hAnsiTheme="majorBidi" w:cstheme="majorBidi"/>
            <w:sz w:val="28"/>
            <w:szCs w:val="28"/>
          </w:rPr>
          <w:t>strike price</w:t>
        </w:r>
      </w:hyperlink>
      <w:r w:rsidRPr="00FB07A2">
        <w:rPr>
          <w:rFonts w:asciiTheme="majorBidi" w:hAnsiTheme="majorBidi" w:cstheme="majorBidi"/>
          <w:sz w:val="28"/>
          <w:szCs w:val="28"/>
        </w:rPr>
        <w:t xml:space="preserve"> of a put option represents the amount of risk that the seller takes on. Options with higher strike prices are more expensive, but also provide more price protection. Of course, at some point, purchasing additional protection is no longer cost effective.</w:t>
      </w:r>
    </w:p>
    <w:tbl>
      <w:tblPr>
        <w:tblW w:w="0" w:type="auto"/>
        <w:jc w:val="center"/>
        <w:tblCellSpacing w:w="0" w:type="dxa"/>
        <w:tblCellMar>
          <w:top w:w="150" w:type="dxa"/>
          <w:left w:w="150" w:type="dxa"/>
          <w:bottom w:w="150" w:type="dxa"/>
          <w:right w:w="150" w:type="dxa"/>
        </w:tblCellMar>
        <w:tblLook w:val="04A0"/>
      </w:tblPr>
      <w:tblGrid>
        <w:gridCol w:w="9370"/>
      </w:tblGrid>
      <w:tr w:rsidR="00FB07A2" w:rsidRPr="00FB07A2" w:rsidTr="00FB07A2">
        <w:trPr>
          <w:tblCellSpacing w:w="0" w:type="dxa"/>
          <w:jc w:val="center"/>
        </w:trPr>
        <w:tc>
          <w:tcPr>
            <w:tcW w:w="0" w:type="auto"/>
            <w:vAlign w:val="center"/>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Emphasis"/>
                <w:rFonts w:asciiTheme="majorBidi" w:hAnsiTheme="majorBidi" w:cstheme="majorBidi"/>
                <w:b/>
                <w:bCs/>
                <w:sz w:val="28"/>
                <w:szCs w:val="28"/>
              </w:rPr>
              <w:t>Example - Hedging Against Downside Risk</w:t>
            </w:r>
          </w:p>
          <w:p w:rsidR="00FB07A2" w:rsidRPr="00FB07A2" w:rsidRDefault="00FB07A2" w:rsidP="00FB07A2">
            <w:pPr>
              <w:numPr>
                <w:ilvl w:val="0"/>
                <w:numId w:val="1"/>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The SPY, the S&amp;P 500 Index </w:t>
            </w:r>
            <w:hyperlink r:id="rId23" w:history="1">
              <w:r w:rsidRPr="00FB07A2">
                <w:rPr>
                  <w:rStyle w:val="Hyperlink"/>
                  <w:rFonts w:asciiTheme="majorBidi" w:hAnsiTheme="majorBidi" w:cstheme="majorBidi"/>
                  <w:sz w:val="28"/>
                  <w:szCs w:val="28"/>
                </w:rPr>
                <w:t>ETF</w:t>
              </w:r>
            </w:hyperlink>
            <w:r w:rsidRPr="00FB07A2">
              <w:rPr>
                <w:rFonts w:asciiTheme="majorBidi" w:hAnsiTheme="majorBidi" w:cstheme="majorBidi"/>
                <w:sz w:val="28"/>
                <w:szCs w:val="28"/>
              </w:rPr>
              <w:t xml:space="preserve">, is trading at 147.81 </w:t>
            </w:r>
          </w:p>
          <w:p w:rsidR="00FB07A2" w:rsidRPr="00FB07A2" w:rsidRDefault="00FB07A2" w:rsidP="00FB07A2">
            <w:pPr>
              <w:numPr>
                <w:ilvl w:val="0"/>
                <w:numId w:val="1"/>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Expected return by December 2008 is 19 points </w:t>
            </w:r>
          </w:p>
          <w:p w:rsidR="00FB07A2" w:rsidRPr="00FB07A2" w:rsidRDefault="00FB07A2" w:rsidP="00FB07A2">
            <w:pPr>
              <w:numPr>
                <w:ilvl w:val="0"/>
                <w:numId w:val="1"/>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Put options available, all expiring December 2008 </w:t>
            </w:r>
          </w:p>
          <w:tbl>
            <w:tblPr>
              <w:tblW w:w="0" w:type="auto"/>
              <w:jc w:val="center"/>
              <w:tblCellSpacing w:w="0" w:type="dxa"/>
              <w:tblBorders>
                <w:top w:val="outset" w:sz="6" w:space="0" w:color="999999"/>
                <w:left w:val="outset" w:sz="6" w:space="0" w:color="999999"/>
                <w:bottom w:val="outset" w:sz="6" w:space="0" w:color="999999"/>
                <w:right w:val="outset" w:sz="6" w:space="0" w:color="999999"/>
              </w:tblBorders>
              <w:tblCellMar>
                <w:top w:w="30" w:type="dxa"/>
                <w:left w:w="30" w:type="dxa"/>
                <w:bottom w:w="30" w:type="dxa"/>
                <w:right w:w="30" w:type="dxa"/>
              </w:tblCellMar>
              <w:tblLook w:val="04A0"/>
            </w:tblPr>
            <w:tblGrid>
              <w:gridCol w:w="1005"/>
              <w:gridCol w:w="990"/>
              <w:gridCol w:w="2160"/>
              <w:gridCol w:w="2610"/>
            </w:tblGrid>
            <w:tr w:rsidR="00FB07A2" w:rsidRPr="00FB07A2">
              <w:trPr>
                <w:tblCellSpacing w:w="0" w:type="dxa"/>
                <w:jc w:val="center"/>
              </w:trPr>
              <w:tc>
                <w:tcPr>
                  <w:tcW w:w="1005"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Strong"/>
                      <w:rFonts w:asciiTheme="majorBidi" w:hAnsiTheme="majorBidi" w:cstheme="majorBidi"/>
                      <w:sz w:val="28"/>
                      <w:szCs w:val="28"/>
                    </w:rPr>
                    <w:t>Strike</w:t>
                  </w:r>
                </w:p>
              </w:tc>
              <w:tc>
                <w:tcPr>
                  <w:tcW w:w="990"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Strong"/>
                      <w:rFonts w:asciiTheme="majorBidi" w:hAnsiTheme="majorBidi" w:cstheme="majorBidi"/>
                      <w:sz w:val="28"/>
                      <w:szCs w:val="28"/>
                    </w:rPr>
                    <w:t>Cost</w:t>
                  </w:r>
                </w:p>
              </w:tc>
              <w:tc>
                <w:tcPr>
                  <w:tcW w:w="2160"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Strong"/>
                      <w:rFonts w:asciiTheme="majorBidi" w:hAnsiTheme="majorBidi" w:cstheme="majorBidi"/>
                      <w:sz w:val="28"/>
                      <w:szCs w:val="28"/>
                    </w:rPr>
                    <w:t>Est. Return</w:t>
                  </w:r>
                  <w:r w:rsidRPr="00FB07A2">
                    <w:rPr>
                      <w:rFonts w:asciiTheme="majorBidi" w:hAnsiTheme="majorBidi" w:cstheme="majorBidi"/>
                      <w:b/>
                      <w:bCs/>
                      <w:sz w:val="28"/>
                      <w:szCs w:val="28"/>
                    </w:rPr>
                    <w:br/>
                  </w:r>
                  <w:r w:rsidRPr="00FB07A2">
                    <w:rPr>
                      <w:rStyle w:val="Emphasis"/>
                      <w:rFonts w:asciiTheme="majorBidi" w:hAnsiTheme="majorBidi" w:cstheme="majorBidi"/>
                      <w:b/>
                      <w:bCs/>
                      <w:sz w:val="28"/>
                      <w:szCs w:val="28"/>
                    </w:rPr>
                    <w:t>return (19) – put</w:t>
                  </w:r>
                </w:p>
              </w:tc>
              <w:tc>
                <w:tcPr>
                  <w:tcW w:w="2610"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Strong"/>
                      <w:rFonts w:asciiTheme="majorBidi" w:hAnsiTheme="majorBidi" w:cstheme="majorBidi"/>
                      <w:sz w:val="28"/>
                      <w:szCs w:val="28"/>
                    </w:rPr>
                    <w:t>Capital at Risk</w:t>
                  </w:r>
                  <w:r w:rsidRPr="00FB07A2">
                    <w:rPr>
                      <w:rFonts w:asciiTheme="majorBidi" w:hAnsiTheme="majorBidi" w:cstheme="majorBidi"/>
                      <w:b/>
                      <w:bCs/>
                      <w:sz w:val="28"/>
                      <w:szCs w:val="28"/>
                    </w:rPr>
                    <w:br/>
                  </w:r>
                  <w:r w:rsidRPr="00FB07A2">
                    <w:rPr>
                      <w:rStyle w:val="Emphasis"/>
                      <w:rFonts w:asciiTheme="majorBidi" w:hAnsiTheme="majorBidi" w:cstheme="majorBidi"/>
                      <w:b/>
                      <w:bCs/>
                      <w:sz w:val="28"/>
                      <w:szCs w:val="28"/>
                    </w:rPr>
                    <w:t>market – strike + put</w:t>
                  </w:r>
                </w:p>
              </w:tc>
            </w:tr>
            <w:tr w:rsidR="00FB07A2" w:rsidRPr="00FB07A2">
              <w:trPr>
                <w:tblCellSpacing w:w="0" w:type="dxa"/>
                <w:jc w:val="center"/>
              </w:trPr>
              <w:tc>
                <w:tcPr>
                  <w:tcW w:w="100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125</w:t>
                  </w:r>
                </w:p>
              </w:tc>
              <w:tc>
                <w:tcPr>
                  <w:tcW w:w="99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4.2</w:t>
                  </w:r>
                </w:p>
              </w:tc>
              <w:tc>
                <w:tcPr>
                  <w:tcW w:w="216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14.8</w:t>
                  </w:r>
                </w:p>
              </w:tc>
              <w:tc>
                <w:tcPr>
                  <w:tcW w:w="261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27.01</w:t>
                  </w:r>
                </w:p>
              </w:tc>
            </w:tr>
            <w:tr w:rsidR="00FB07A2" w:rsidRPr="00FB07A2">
              <w:trPr>
                <w:tblCellSpacing w:w="0" w:type="dxa"/>
                <w:jc w:val="center"/>
              </w:trPr>
              <w:tc>
                <w:tcPr>
                  <w:tcW w:w="100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130</w:t>
                  </w:r>
                </w:p>
              </w:tc>
              <w:tc>
                <w:tcPr>
                  <w:tcW w:w="99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5.2</w:t>
                  </w:r>
                </w:p>
              </w:tc>
              <w:tc>
                <w:tcPr>
                  <w:tcW w:w="216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13.8</w:t>
                  </w:r>
                </w:p>
              </w:tc>
              <w:tc>
                <w:tcPr>
                  <w:tcW w:w="261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23.01</w:t>
                  </w:r>
                </w:p>
              </w:tc>
            </w:tr>
            <w:tr w:rsidR="00FB07A2" w:rsidRPr="00FB07A2">
              <w:trPr>
                <w:tblCellSpacing w:w="0" w:type="dxa"/>
                <w:jc w:val="center"/>
              </w:trPr>
              <w:tc>
                <w:tcPr>
                  <w:tcW w:w="100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135</w:t>
                  </w:r>
                </w:p>
              </w:tc>
              <w:tc>
                <w:tcPr>
                  <w:tcW w:w="99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6.3</w:t>
                  </w:r>
                </w:p>
              </w:tc>
              <w:tc>
                <w:tcPr>
                  <w:tcW w:w="216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12.7</w:t>
                  </w:r>
                </w:p>
              </w:tc>
              <w:tc>
                <w:tcPr>
                  <w:tcW w:w="261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19.11</w:t>
                  </w:r>
                </w:p>
              </w:tc>
            </w:tr>
            <w:tr w:rsidR="00FB07A2" w:rsidRPr="00FB07A2">
              <w:trPr>
                <w:tblCellSpacing w:w="0" w:type="dxa"/>
                <w:jc w:val="center"/>
              </w:trPr>
              <w:tc>
                <w:tcPr>
                  <w:tcW w:w="100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140</w:t>
                  </w:r>
                </w:p>
              </w:tc>
              <w:tc>
                <w:tcPr>
                  <w:tcW w:w="99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7.7</w:t>
                  </w:r>
                </w:p>
              </w:tc>
              <w:tc>
                <w:tcPr>
                  <w:tcW w:w="216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11.3</w:t>
                  </w:r>
                </w:p>
              </w:tc>
              <w:tc>
                <w:tcPr>
                  <w:tcW w:w="261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15.51</w:t>
                  </w:r>
                </w:p>
              </w:tc>
            </w:tr>
          </w:tbl>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 xml:space="preserve">In the example, buying puts at higher strike prices results in less capital at risk in the investment, but pushes the overall investment return downward. </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SEE: </w:t>
            </w:r>
            <w:hyperlink r:id="rId24" w:history="1">
              <w:r w:rsidRPr="00FB07A2">
                <w:rPr>
                  <w:rStyle w:val="Hyperlink"/>
                  <w:rFonts w:asciiTheme="majorBidi" w:hAnsiTheme="majorBidi" w:cstheme="majorBidi"/>
                  <w:sz w:val="28"/>
                  <w:szCs w:val="28"/>
                </w:rPr>
                <w:t>Options Basics</w:t>
              </w:r>
            </w:hyperlink>
            <w:r w:rsidRPr="00FB07A2">
              <w:rPr>
                <w:rFonts w:asciiTheme="majorBidi" w:hAnsiTheme="majorBidi" w:cstheme="majorBidi"/>
                <w:sz w:val="28"/>
                <w:szCs w:val="28"/>
              </w:rPr>
              <w:t xml:space="preserve"> </w:t>
            </w:r>
          </w:p>
        </w:tc>
      </w:tr>
    </w:tbl>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lastRenderedPageBreak/>
        <w:br/>
      </w:r>
      <w:r w:rsidRPr="00FB07A2">
        <w:rPr>
          <w:rStyle w:val="Strong"/>
          <w:rFonts w:asciiTheme="majorBidi" w:hAnsiTheme="majorBidi" w:cstheme="majorBidi"/>
          <w:sz w:val="28"/>
          <w:szCs w:val="28"/>
        </w:rPr>
        <w:t>Pricing Theory and Practice</w:t>
      </w:r>
      <w:r w:rsidRPr="00FB07A2">
        <w:rPr>
          <w:rFonts w:asciiTheme="majorBidi" w:hAnsiTheme="majorBidi" w:cstheme="majorBidi"/>
          <w:sz w:val="28"/>
          <w:szCs w:val="28"/>
        </w:rPr>
        <w:br/>
        <w:t xml:space="preserve">In theory, a perfectly priced hedge, such as a put option, would be a zero-sum transaction. The purchase price of the put option would be exactly equal to the expected downside risk of the underlying security. However, if this were the case, there would be little reason </w:t>
      </w:r>
      <w:r w:rsidRPr="00FB07A2">
        <w:rPr>
          <w:rStyle w:val="Emphasis"/>
          <w:rFonts w:asciiTheme="majorBidi" w:hAnsiTheme="majorBidi" w:cstheme="majorBidi"/>
          <w:sz w:val="28"/>
          <w:szCs w:val="28"/>
        </w:rPr>
        <w:t>not</w:t>
      </w:r>
      <w:r w:rsidRPr="00FB07A2">
        <w:rPr>
          <w:rFonts w:asciiTheme="majorBidi" w:hAnsiTheme="majorBidi" w:cstheme="majorBidi"/>
          <w:sz w:val="28"/>
          <w:szCs w:val="28"/>
        </w:rPr>
        <w:t xml:space="preserve"> to hedge any investment.</w:t>
      </w:r>
      <w:r w:rsidRPr="00FB07A2">
        <w:rPr>
          <w:rFonts w:asciiTheme="majorBidi" w:hAnsiTheme="majorBidi" w:cstheme="majorBidi"/>
          <w:sz w:val="28"/>
          <w:szCs w:val="28"/>
        </w:rPr>
        <w:br/>
      </w:r>
      <w:r w:rsidRPr="00FB07A2">
        <w:rPr>
          <w:rFonts w:asciiTheme="majorBidi" w:hAnsiTheme="majorBidi" w:cstheme="majorBidi"/>
          <w:sz w:val="28"/>
          <w:szCs w:val="28"/>
        </w:rPr>
        <w:br/>
        <w:t>Of course, the market is nowhere near that efficient, precise or generous. The reality is that most of the time and for most securities, put options are depreciating securities with negative average payouts. There are three factors at work here:</w:t>
      </w:r>
    </w:p>
    <w:p w:rsidR="00FB07A2" w:rsidRPr="00FB07A2" w:rsidRDefault="00FB07A2" w:rsidP="00FB07A2">
      <w:pPr>
        <w:numPr>
          <w:ilvl w:val="0"/>
          <w:numId w:val="2"/>
        </w:numPr>
        <w:bidi w:val="0"/>
        <w:spacing w:before="100" w:beforeAutospacing="1" w:after="240" w:line="240" w:lineRule="auto"/>
        <w:jc w:val="left"/>
        <w:rPr>
          <w:rFonts w:asciiTheme="majorBidi" w:hAnsiTheme="majorBidi" w:cstheme="majorBidi"/>
          <w:sz w:val="28"/>
          <w:szCs w:val="28"/>
        </w:rPr>
      </w:pPr>
      <w:r w:rsidRPr="00FB07A2">
        <w:rPr>
          <w:rStyle w:val="Emphasis"/>
          <w:rFonts w:asciiTheme="majorBidi" w:hAnsiTheme="majorBidi" w:cstheme="majorBidi"/>
          <w:sz w:val="28"/>
          <w:szCs w:val="28"/>
        </w:rPr>
        <w:t>Volatility Premium</w:t>
      </w:r>
      <w:r w:rsidRPr="00FB07A2">
        <w:rPr>
          <w:rFonts w:asciiTheme="majorBidi" w:hAnsiTheme="majorBidi" w:cstheme="majorBidi"/>
          <w:sz w:val="28"/>
          <w:szCs w:val="28"/>
        </w:rPr>
        <w:t xml:space="preserve"> - As a rule, </w:t>
      </w:r>
      <w:hyperlink r:id="rId25" w:history="1">
        <w:r w:rsidRPr="00FB07A2">
          <w:rPr>
            <w:rStyle w:val="Hyperlink"/>
            <w:rFonts w:asciiTheme="majorBidi" w:hAnsiTheme="majorBidi" w:cstheme="majorBidi"/>
            <w:sz w:val="28"/>
            <w:szCs w:val="28"/>
          </w:rPr>
          <w:t>implied volatility</w:t>
        </w:r>
      </w:hyperlink>
      <w:r w:rsidRPr="00FB07A2">
        <w:rPr>
          <w:rFonts w:asciiTheme="majorBidi" w:hAnsiTheme="majorBidi" w:cstheme="majorBidi"/>
          <w:sz w:val="28"/>
          <w:szCs w:val="28"/>
        </w:rPr>
        <w:t xml:space="preserve"> is usually higher than realized volatility for most securities, most of the time. Why this happens is still open to considerable academic debate, but the result is that investors regularly overpay for downside protection.</w:t>
      </w:r>
    </w:p>
    <w:p w:rsidR="00FB07A2" w:rsidRPr="00FB07A2" w:rsidRDefault="00FB07A2" w:rsidP="00FB07A2">
      <w:pPr>
        <w:numPr>
          <w:ilvl w:val="0"/>
          <w:numId w:val="2"/>
        </w:numPr>
        <w:bidi w:val="0"/>
        <w:spacing w:before="100" w:beforeAutospacing="1" w:after="240" w:line="240" w:lineRule="auto"/>
        <w:jc w:val="left"/>
        <w:rPr>
          <w:rFonts w:asciiTheme="majorBidi" w:hAnsiTheme="majorBidi" w:cstheme="majorBidi"/>
          <w:sz w:val="28"/>
          <w:szCs w:val="28"/>
        </w:rPr>
      </w:pPr>
      <w:r w:rsidRPr="00FB07A2">
        <w:rPr>
          <w:rStyle w:val="Emphasis"/>
          <w:rFonts w:asciiTheme="majorBidi" w:hAnsiTheme="majorBidi" w:cstheme="majorBidi"/>
          <w:sz w:val="28"/>
          <w:szCs w:val="28"/>
        </w:rPr>
        <w:t>Index Drift</w:t>
      </w:r>
      <w:r w:rsidRPr="00FB07A2">
        <w:rPr>
          <w:rFonts w:asciiTheme="majorBidi" w:hAnsiTheme="majorBidi" w:cstheme="majorBidi"/>
          <w:sz w:val="28"/>
          <w:szCs w:val="28"/>
        </w:rPr>
        <w:t xml:space="preserve"> - Equity indexes and associated stock prices have a tendency to move upward over time. This gradual increase in the value of the underlying security results in a decline in the value of the related put.</w:t>
      </w:r>
    </w:p>
    <w:p w:rsidR="00FB07A2" w:rsidRPr="00FB07A2" w:rsidRDefault="00FB07A2" w:rsidP="00FB07A2">
      <w:pPr>
        <w:numPr>
          <w:ilvl w:val="0"/>
          <w:numId w:val="2"/>
        </w:numPr>
        <w:bidi w:val="0"/>
        <w:spacing w:before="100" w:beforeAutospacing="1" w:after="100" w:afterAutospacing="1" w:line="240" w:lineRule="auto"/>
        <w:jc w:val="left"/>
        <w:rPr>
          <w:rFonts w:asciiTheme="majorBidi" w:hAnsiTheme="majorBidi" w:cstheme="majorBidi"/>
          <w:sz w:val="28"/>
          <w:szCs w:val="28"/>
        </w:rPr>
      </w:pPr>
      <w:hyperlink r:id="rId26" w:history="1">
        <w:r w:rsidRPr="00FB07A2">
          <w:rPr>
            <w:rStyle w:val="Emphasis"/>
            <w:rFonts w:asciiTheme="majorBidi" w:hAnsiTheme="majorBidi" w:cstheme="majorBidi"/>
            <w:color w:val="0000FF"/>
            <w:sz w:val="28"/>
            <w:szCs w:val="28"/>
            <w:u w:val="single"/>
          </w:rPr>
          <w:t>Time Decay</w:t>
        </w:r>
      </w:hyperlink>
      <w:r w:rsidRPr="00FB07A2">
        <w:rPr>
          <w:rFonts w:asciiTheme="majorBidi" w:hAnsiTheme="majorBidi" w:cstheme="majorBidi"/>
          <w:sz w:val="28"/>
          <w:szCs w:val="28"/>
        </w:rPr>
        <w:t xml:space="preserve"> - Like all long option positions, every day that an option moves closer to expiry, it loses some of its value. The rate of decay increases as the time left on the option decreases. </w:t>
      </w:r>
    </w:p>
    <w:p w:rsidR="00FB07A2" w:rsidRPr="00FB07A2" w:rsidRDefault="00FB07A2" w:rsidP="00FB07A2">
      <w:pPr>
        <w:bidi w:val="0"/>
        <w:spacing w:after="240"/>
        <w:jc w:val="left"/>
        <w:rPr>
          <w:rFonts w:asciiTheme="majorBidi" w:hAnsiTheme="majorBidi" w:cstheme="majorBidi"/>
          <w:sz w:val="28"/>
          <w:szCs w:val="28"/>
        </w:rPr>
      </w:pPr>
      <w:r w:rsidRPr="00FB07A2">
        <w:rPr>
          <w:rFonts w:asciiTheme="majorBidi" w:hAnsiTheme="majorBidi" w:cstheme="majorBidi"/>
          <w:sz w:val="28"/>
          <w:szCs w:val="28"/>
        </w:rPr>
        <w:t xml:space="preserve">SEE: </w:t>
      </w:r>
      <w:hyperlink r:id="rId27" w:history="1">
        <w:r w:rsidRPr="00FB07A2">
          <w:rPr>
            <w:rStyle w:val="Hyperlink"/>
            <w:rFonts w:asciiTheme="majorBidi" w:hAnsiTheme="majorBidi" w:cstheme="majorBidi"/>
            <w:sz w:val="28"/>
            <w:szCs w:val="28"/>
          </w:rPr>
          <w:t>The Importance Of Time Value</w:t>
        </w:r>
      </w:hyperlink>
      <w:r w:rsidRPr="00FB07A2">
        <w:rPr>
          <w:rFonts w:asciiTheme="majorBidi" w:hAnsiTheme="majorBidi" w:cstheme="majorBidi"/>
          <w:sz w:val="28"/>
          <w:szCs w:val="28"/>
        </w:rPr>
        <w:t xml:space="preserve"> and </w:t>
      </w:r>
      <w:hyperlink r:id="rId28" w:history="1">
        <w:r w:rsidRPr="00FB07A2">
          <w:rPr>
            <w:rStyle w:val="Hyperlink"/>
            <w:rFonts w:asciiTheme="majorBidi" w:hAnsiTheme="majorBidi" w:cstheme="majorBidi"/>
            <w:sz w:val="28"/>
            <w:szCs w:val="28"/>
          </w:rPr>
          <w:t>Risk Graphs: Visualizing Your Profit Potential</w:t>
        </w:r>
      </w:hyperlink>
      <w:r w:rsidRPr="00FB07A2">
        <w:rPr>
          <w:rFonts w:asciiTheme="majorBidi" w:hAnsiTheme="majorBidi" w:cstheme="majorBidi"/>
          <w:sz w:val="28"/>
          <w:szCs w:val="28"/>
        </w:rPr>
        <w:t xml:space="preserve"> </w:t>
      </w:r>
      <w:r w:rsidRPr="00FB07A2">
        <w:rPr>
          <w:rFonts w:asciiTheme="majorBidi" w:hAnsiTheme="majorBidi" w:cstheme="majorBidi"/>
          <w:sz w:val="28"/>
          <w:szCs w:val="28"/>
        </w:rPr>
        <w:br/>
      </w:r>
      <w:r w:rsidRPr="00FB07A2">
        <w:rPr>
          <w:rFonts w:asciiTheme="majorBidi" w:hAnsiTheme="majorBidi" w:cstheme="majorBidi"/>
          <w:sz w:val="28"/>
          <w:szCs w:val="28"/>
        </w:rPr>
        <w:br/>
        <w:t>Because the expected payout of a put option is less than the cost, the challenge for investors is to only buy as much protection as they need. This generally means purchasing puts at lower strike prices and assuming the security's initial downside risk.</w:t>
      </w:r>
      <w:r w:rsidRPr="00FB07A2">
        <w:rPr>
          <w:rFonts w:asciiTheme="majorBidi" w:hAnsiTheme="majorBidi" w:cstheme="majorBidi"/>
          <w:sz w:val="28"/>
          <w:szCs w:val="28"/>
        </w:rPr>
        <w:br/>
      </w:r>
      <w:r w:rsidRPr="00FB07A2">
        <w:rPr>
          <w:rFonts w:asciiTheme="majorBidi" w:hAnsiTheme="majorBidi" w:cstheme="majorBidi"/>
          <w:sz w:val="28"/>
          <w:szCs w:val="28"/>
        </w:rPr>
        <w:br/>
      </w:r>
      <w:r w:rsidRPr="00FB07A2">
        <w:rPr>
          <w:rStyle w:val="Strong"/>
          <w:rFonts w:asciiTheme="majorBidi" w:hAnsiTheme="majorBidi" w:cstheme="majorBidi"/>
          <w:sz w:val="28"/>
          <w:szCs w:val="28"/>
        </w:rPr>
        <w:t>Spread Hedging</w:t>
      </w:r>
      <w:r w:rsidRPr="00FB07A2">
        <w:rPr>
          <w:rFonts w:asciiTheme="majorBidi" w:hAnsiTheme="majorBidi" w:cstheme="majorBidi"/>
          <w:sz w:val="28"/>
          <w:szCs w:val="28"/>
        </w:rPr>
        <w:br/>
        <w:t xml:space="preserve">Index investors are often more concerned with hedging against moderate price declines than severe declines, as these type of price drops are both very unpredictable and relatively common. For these investors, a </w:t>
      </w:r>
      <w:hyperlink r:id="rId29" w:history="1">
        <w:r w:rsidRPr="00FB07A2">
          <w:rPr>
            <w:rStyle w:val="Hyperlink"/>
            <w:rFonts w:asciiTheme="majorBidi" w:hAnsiTheme="majorBidi" w:cstheme="majorBidi"/>
            <w:sz w:val="28"/>
            <w:szCs w:val="28"/>
          </w:rPr>
          <w:t>bear put spread</w:t>
        </w:r>
      </w:hyperlink>
      <w:r w:rsidRPr="00FB07A2">
        <w:rPr>
          <w:rFonts w:asciiTheme="majorBidi" w:hAnsiTheme="majorBidi" w:cstheme="majorBidi"/>
          <w:sz w:val="28"/>
          <w:szCs w:val="28"/>
        </w:rPr>
        <w:t xml:space="preserve"> can be a cost-effective solution. </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SEE: </w:t>
      </w:r>
      <w:hyperlink r:id="rId30" w:history="1">
        <w:r w:rsidRPr="00FB07A2">
          <w:rPr>
            <w:rStyle w:val="Hyperlink"/>
            <w:rFonts w:asciiTheme="majorBidi" w:hAnsiTheme="majorBidi" w:cstheme="majorBidi"/>
            <w:sz w:val="28"/>
            <w:szCs w:val="28"/>
          </w:rPr>
          <w:t>Option Spread Strategies</w:t>
        </w:r>
      </w:hyperlink>
      <w:r w:rsidRPr="00FB07A2">
        <w:rPr>
          <w:rFonts w:asciiTheme="majorBidi" w:hAnsiTheme="majorBidi" w:cstheme="majorBidi"/>
          <w:sz w:val="28"/>
          <w:szCs w:val="28"/>
        </w:rPr>
        <w:br/>
      </w:r>
      <w:r w:rsidRPr="00FB07A2">
        <w:rPr>
          <w:rFonts w:asciiTheme="majorBidi" w:hAnsiTheme="majorBidi" w:cstheme="majorBidi"/>
          <w:sz w:val="28"/>
          <w:szCs w:val="28"/>
        </w:rPr>
        <w:lastRenderedPageBreak/>
        <w:br/>
        <w:t xml:space="preserve">In a bear put </w:t>
      </w:r>
      <w:proofErr w:type="gramStart"/>
      <w:r w:rsidRPr="00FB07A2">
        <w:rPr>
          <w:rFonts w:asciiTheme="majorBidi" w:hAnsiTheme="majorBidi" w:cstheme="majorBidi"/>
          <w:sz w:val="28"/>
          <w:szCs w:val="28"/>
        </w:rPr>
        <w:t>spread,</w:t>
      </w:r>
      <w:proofErr w:type="gramEnd"/>
      <w:r w:rsidRPr="00FB07A2">
        <w:rPr>
          <w:rFonts w:asciiTheme="majorBidi" w:hAnsiTheme="majorBidi" w:cstheme="majorBidi"/>
          <w:sz w:val="28"/>
          <w:szCs w:val="28"/>
        </w:rPr>
        <w:t xml:space="preserve"> the investor buys a put with a higher strike price and then sells one with a lower price with the same expiration date. Note that this only provides limited protection, as the maximum payout is the difference between the two strike prices. However, this is often enough protection to handle a mild-to-moderate downturn.</w:t>
      </w:r>
    </w:p>
    <w:tbl>
      <w:tblPr>
        <w:tblW w:w="0" w:type="auto"/>
        <w:jc w:val="center"/>
        <w:tblCellSpacing w:w="0" w:type="dxa"/>
        <w:tblCellMar>
          <w:top w:w="150" w:type="dxa"/>
          <w:left w:w="150" w:type="dxa"/>
          <w:bottom w:w="150" w:type="dxa"/>
          <w:right w:w="150" w:type="dxa"/>
        </w:tblCellMar>
        <w:tblLook w:val="04A0"/>
      </w:tblPr>
      <w:tblGrid>
        <w:gridCol w:w="9370"/>
      </w:tblGrid>
      <w:tr w:rsidR="00FB07A2" w:rsidRPr="00FB07A2" w:rsidTr="00FB07A2">
        <w:trPr>
          <w:tblCellSpacing w:w="0" w:type="dxa"/>
          <w:jc w:val="center"/>
        </w:trPr>
        <w:tc>
          <w:tcPr>
            <w:tcW w:w="0" w:type="auto"/>
            <w:vAlign w:val="center"/>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Emphasis"/>
                <w:rFonts w:asciiTheme="majorBidi" w:hAnsiTheme="majorBidi" w:cstheme="majorBidi"/>
                <w:b/>
                <w:bCs/>
                <w:sz w:val="28"/>
                <w:szCs w:val="28"/>
              </w:rPr>
              <w:t>Example - Bear Put Spread Strategy</w:t>
            </w:r>
          </w:p>
          <w:p w:rsidR="00FB07A2" w:rsidRPr="00FB07A2" w:rsidRDefault="00FB07A2" w:rsidP="00FB07A2">
            <w:pPr>
              <w:numPr>
                <w:ilvl w:val="0"/>
                <w:numId w:val="3"/>
              </w:numPr>
              <w:bidi w:val="0"/>
              <w:spacing w:before="100" w:beforeAutospacing="1" w:after="100" w:afterAutospacing="1" w:line="240" w:lineRule="auto"/>
              <w:jc w:val="left"/>
              <w:rPr>
                <w:rFonts w:asciiTheme="majorBidi" w:hAnsiTheme="majorBidi" w:cstheme="majorBidi"/>
                <w:sz w:val="28"/>
                <w:szCs w:val="28"/>
              </w:rPr>
            </w:pPr>
            <w:hyperlink r:id="rId31" w:history="1">
              <w:r w:rsidRPr="00FB07A2">
                <w:rPr>
                  <w:rStyle w:val="Hyperlink"/>
                  <w:rFonts w:asciiTheme="majorBidi" w:hAnsiTheme="majorBidi" w:cstheme="majorBidi"/>
                  <w:sz w:val="28"/>
                  <w:szCs w:val="28"/>
                </w:rPr>
                <w:t>IWM</w:t>
              </w:r>
            </w:hyperlink>
            <w:r w:rsidRPr="00FB07A2">
              <w:rPr>
                <w:rFonts w:asciiTheme="majorBidi" w:hAnsiTheme="majorBidi" w:cstheme="majorBidi"/>
                <w:sz w:val="28"/>
                <w:szCs w:val="28"/>
              </w:rPr>
              <w:t xml:space="preserve">, the Russell 2000 ETF, trades for 80.63 </w:t>
            </w:r>
          </w:p>
          <w:p w:rsidR="00FB07A2" w:rsidRPr="00FB07A2" w:rsidRDefault="00FB07A2" w:rsidP="00FB07A2">
            <w:pPr>
              <w:numPr>
                <w:ilvl w:val="0"/>
                <w:numId w:val="3"/>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Purchase IWM put(s) @ 76 expiring in 160 days for $3.20/contract </w:t>
            </w:r>
          </w:p>
          <w:p w:rsidR="00FB07A2" w:rsidRPr="00FB07A2" w:rsidRDefault="00FB07A2" w:rsidP="00FB07A2">
            <w:pPr>
              <w:numPr>
                <w:ilvl w:val="0"/>
                <w:numId w:val="3"/>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Sell IWM put(s) @ 68 expiring in 160 days for $1.41/contract </w:t>
            </w:r>
          </w:p>
          <w:p w:rsidR="00FB07A2" w:rsidRPr="00FB07A2" w:rsidRDefault="00FB07A2" w:rsidP="00FB07A2">
            <w:pPr>
              <w:numPr>
                <w:ilvl w:val="0"/>
                <w:numId w:val="3"/>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Debit on trade: $1.79/contract </w:t>
            </w:r>
          </w:p>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t>In this example, an investor buys eight points of downside protection (76-68) for 160 days for $1.79/contract. The protection starts when the ETF declines to 76, a 6% drop from the present market value, and continues for eight more points.</w:t>
            </w:r>
            <w:r w:rsidRPr="00FB07A2">
              <w:rPr>
                <w:rFonts w:asciiTheme="majorBidi" w:hAnsiTheme="majorBidi" w:cstheme="majorBidi"/>
                <w:sz w:val="28"/>
                <w:szCs w:val="28"/>
              </w:rPr>
              <w:br/>
              <w:t xml:space="preserve">Note that options on IWM are penny priced and highly liquid. Options on other securities that </w:t>
            </w:r>
            <w:proofErr w:type="spellStart"/>
            <w:r w:rsidRPr="00FB07A2">
              <w:rPr>
                <w:rFonts w:asciiTheme="majorBidi" w:hAnsiTheme="majorBidi" w:cstheme="majorBidi"/>
                <w:sz w:val="28"/>
                <w:szCs w:val="28"/>
              </w:rPr>
              <w:t>aren</w:t>
            </w:r>
            <w:proofErr w:type="spellEnd"/>
            <w:r w:rsidRPr="00FB07A2">
              <w:rPr>
                <w:rFonts w:asciiTheme="majorBidi" w:hAnsiTheme="majorBidi" w:cstheme="majorBidi"/>
                <w:sz w:val="28"/>
                <w:szCs w:val="28"/>
              </w:rPr>
              <w:t xml:space="preserve">\'t as liquid may have very high </w:t>
            </w:r>
            <w:hyperlink r:id="rId32" w:history="1">
              <w:r w:rsidRPr="00FB07A2">
                <w:rPr>
                  <w:rStyle w:val="Hyperlink"/>
                  <w:rFonts w:asciiTheme="majorBidi" w:hAnsiTheme="majorBidi" w:cstheme="majorBidi"/>
                  <w:sz w:val="28"/>
                  <w:szCs w:val="28"/>
                </w:rPr>
                <w:t>bid-ask spreads</w:t>
              </w:r>
            </w:hyperlink>
            <w:r w:rsidRPr="00FB07A2">
              <w:rPr>
                <w:rFonts w:asciiTheme="majorBidi" w:hAnsiTheme="majorBidi" w:cstheme="majorBidi"/>
                <w:sz w:val="28"/>
                <w:szCs w:val="28"/>
              </w:rPr>
              <w:t>, making spread transactions less profitable.</w:t>
            </w:r>
          </w:p>
        </w:tc>
      </w:tr>
    </w:tbl>
    <w:p w:rsidR="00FB07A2" w:rsidRPr="00FB07A2" w:rsidRDefault="00FB07A2" w:rsidP="00FB07A2">
      <w:pPr>
        <w:bidi w:val="0"/>
        <w:spacing w:after="24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Strong"/>
          <w:rFonts w:asciiTheme="majorBidi" w:hAnsiTheme="majorBidi" w:cstheme="majorBidi"/>
          <w:sz w:val="28"/>
          <w:szCs w:val="28"/>
        </w:rPr>
        <w:t xml:space="preserve">Time Extension and Put </w:t>
      </w:r>
      <w:proofErr w:type="gramStart"/>
      <w:r w:rsidRPr="00FB07A2">
        <w:rPr>
          <w:rStyle w:val="Strong"/>
          <w:rFonts w:asciiTheme="majorBidi" w:hAnsiTheme="majorBidi" w:cstheme="majorBidi"/>
          <w:sz w:val="28"/>
          <w:szCs w:val="28"/>
        </w:rPr>
        <w:t>Rolling</w:t>
      </w:r>
      <w:proofErr w:type="gramEnd"/>
      <w:r w:rsidRPr="00FB07A2">
        <w:rPr>
          <w:rFonts w:asciiTheme="majorBidi" w:hAnsiTheme="majorBidi" w:cstheme="majorBidi"/>
          <w:sz w:val="28"/>
          <w:szCs w:val="28"/>
        </w:rPr>
        <w:br/>
        <w:t xml:space="preserve">Another way to get the most value out of a hedge is to purchase the longest available put option. A six-month put option is generally not twice the price of a three-month option - the price difference is only about 50%. When purchasing any option, the </w:t>
      </w:r>
      <w:hyperlink r:id="rId33" w:history="1">
        <w:r w:rsidRPr="00FB07A2">
          <w:rPr>
            <w:rStyle w:val="Hyperlink"/>
            <w:rFonts w:asciiTheme="majorBidi" w:hAnsiTheme="majorBidi" w:cstheme="majorBidi"/>
            <w:sz w:val="28"/>
            <w:szCs w:val="28"/>
          </w:rPr>
          <w:t>marginal cost</w:t>
        </w:r>
      </w:hyperlink>
      <w:r w:rsidRPr="00FB07A2">
        <w:rPr>
          <w:rFonts w:asciiTheme="majorBidi" w:hAnsiTheme="majorBidi" w:cstheme="majorBidi"/>
          <w:sz w:val="28"/>
          <w:szCs w:val="28"/>
        </w:rPr>
        <w:t xml:space="preserve"> of each additional month is lower than the last.</w:t>
      </w:r>
    </w:p>
    <w:tbl>
      <w:tblPr>
        <w:tblW w:w="0" w:type="auto"/>
        <w:jc w:val="center"/>
        <w:tblCellSpacing w:w="0" w:type="dxa"/>
        <w:tblCellMar>
          <w:top w:w="150" w:type="dxa"/>
          <w:left w:w="150" w:type="dxa"/>
          <w:bottom w:w="150" w:type="dxa"/>
          <w:right w:w="150" w:type="dxa"/>
        </w:tblCellMar>
        <w:tblLook w:val="04A0"/>
      </w:tblPr>
      <w:tblGrid>
        <w:gridCol w:w="9370"/>
      </w:tblGrid>
      <w:tr w:rsidR="00FB07A2" w:rsidRPr="00FB07A2" w:rsidTr="00FB07A2">
        <w:trPr>
          <w:tblCellSpacing w:w="0" w:type="dxa"/>
          <w:jc w:val="center"/>
        </w:trPr>
        <w:tc>
          <w:tcPr>
            <w:tcW w:w="0" w:type="auto"/>
            <w:vAlign w:val="center"/>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Emphasis"/>
                <w:rFonts w:asciiTheme="majorBidi" w:hAnsiTheme="majorBidi" w:cstheme="majorBidi"/>
                <w:b/>
                <w:bCs/>
                <w:sz w:val="28"/>
                <w:szCs w:val="28"/>
              </w:rPr>
              <w:t>Example - Buying a Long-Term Put Option</w:t>
            </w:r>
          </w:p>
          <w:p w:rsidR="00FB07A2" w:rsidRPr="00FB07A2" w:rsidRDefault="00FB07A2" w:rsidP="00FB07A2">
            <w:pPr>
              <w:numPr>
                <w:ilvl w:val="0"/>
                <w:numId w:val="4"/>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Available put options on IWM, trading at 78.20. </w:t>
            </w:r>
          </w:p>
          <w:p w:rsidR="00FB07A2" w:rsidRPr="00FB07A2" w:rsidRDefault="00FB07A2" w:rsidP="00FB07A2">
            <w:pPr>
              <w:numPr>
                <w:ilvl w:val="0"/>
                <w:numId w:val="4"/>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IWM is the Russell 2000 tracker ETF </w:t>
            </w:r>
          </w:p>
          <w:p w:rsidR="00FB07A2" w:rsidRDefault="00FB07A2" w:rsidP="00FB07A2">
            <w:pPr>
              <w:bidi w:val="0"/>
              <w:spacing w:after="240"/>
              <w:jc w:val="left"/>
              <w:rPr>
                <w:rFonts w:asciiTheme="majorBidi" w:hAnsiTheme="majorBidi" w:cstheme="majorBidi"/>
                <w:sz w:val="28"/>
                <w:szCs w:val="28"/>
              </w:rPr>
            </w:pPr>
          </w:p>
          <w:p w:rsidR="00FB07A2" w:rsidRPr="00FB07A2" w:rsidRDefault="00FB07A2" w:rsidP="00FB07A2">
            <w:pPr>
              <w:bidi w:val="0"/>
              <w:spacing w:after="240"/>
              <w:jc w:val="left"/>
              <w:rPr>
                <w:rFonts w:asciiTheme="majorBidi" w:hAnsiTheme="majorBidi" w:cstheme="majorBidi"/>
                <w:sz w:val="28"/>
                <w:szCs w:val="28"/>
              </w:rPr>
            </w:pPr>
            <w:r w:rsidRPr="00FB07A2">
              <w:rPr>
                <w:rFonts w:asciiTheme="majorBidi" w:hAnsiTheme="majorBidi" w:cstheme="majorBidi"/>
                <w:sz w:val="28"/>
                <w:szCs w:val="28"/>
              </w:rPr>
              <w:t>http://www.investopedia.com/articles/optioninvestor/07/affordable-hedging.asp</w:t>
            </w:r>
          </w:p>
          <w:tbl>
            <w:tblPr>
              <w:tblW w:w="0" w:type="auto"/>
              <w:jc w:val="center"/>
              <w:tblCellSpacing w:w="0" w:type="dxa"/>
              <w:tblBorders>
                <w:top w:val="outset" w:sz="6" w:space="0" w:color="999999"/>
                <w:left w:val="outset" w:sz="6" w:space="0" w:color="999999"/>
                <w:bottom w:val="outset" w:sz="6" w:space="0" w:color="999999"/>
                <w:right w:val="outset" w:sz="6" w:space="0" w:color="999999"/>
              </w:tblBorders>
              <w:tblCellMar>
                <w:top w:w="30" w:type="dxa"/>
                <w:left w:w="30" w:type="dxa"/>
                <w:bottom w:w="30" w:type="dxa"/>
                <w:right w:w="30" w:type="dxa"/>
              </w:tblCellMar>
              <w:tblLook w:val="04A0"/>
            </w:tblPr>
            <w:tblGrid>
              <w:gridCol w:w="1095"/>
              <w:gridCol w:w="1800"/>
              <w:gridCol w:w="1170"/>
              <w:gridCol w:w="1440"/>
            </w:tblGrid>
            <w:tr w:rsidR="00FB07A2" w:rsidRPr="00FB07A2">
              <w:trPr>
                <w:tblCellSpacing w:w="0" w:type="dxa"/>
                <w:jc w:val="center"/>
              </w:trPr>
              <w:tc>
                <w:tcPr>
                  <w:tcW w:w="1095"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Style w:val="Strong"/>
                      <w:rFonts w:asciiTheme="majorBidi" w:hAnsiTheme="majorBidi" w:cstheme="majorBidi"/>
                      <w:sz w:val="28"/>
                      <w:szCs w:val="28"/>
                    </w:rPr>
                    <w:lastRenderedPageBreak/>
                    <w:t xml:space="preserve">Strike </w:t>
                  </w:r>
                </w:p>
              </w:tc>
              <w:tc>
                <w:tcPr>
                  <w:tcW w:w="1800"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Style w:val="Strong"/>
                      <w:rFonts w:asciiTheme="majorBidi" w:hAnsiTheme="majorBidi" w:cstheme="majorBidi"/>
                      <w:sz w:val="28"/>
                      <w:szCs w:val="28"/>
                    </w:rPr>
                    <w:t xml:space="preserve">Days to Expiry </w:t>
                  </w:r>
                </w:p>
              </w:tc>
              <w:tc>
                <w:tcPr>
                  <w:tcW w:w="1170"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Style w:val="Strong"/>
                      <w:rFonts w:asciiTheme="majorBidi" w:hAnsiTheme="majorBidi" w:cstheme="majorBidi"/>
                      <w:sz w:val="28"/>
                      <w:szCs w:val="28"/>
                    </w:rPr>
                    <w:t xml:space="preserve">Cost </w:t>
                  </w:r>
                </w:p>
              </w:tc>
              <w:tc>
                <w:tcPr>
                  <w:tcW w:w="1440" w:type="dxa"/>
                  <w:tcBorders>
                    <w:top w:val="outset" w:sz="6" w:space="0" w:color="999999"/>
                    <w:left w:val="outset" w:sz="6" w:space="0" w:color="999999"/>
                    <w:bottom w:val="outset" w:sz="6" w:space="0" w:color="999999"/>
                    <w:right w:val="outset" w:sz="6" w:space="0" w:color="999999"/>
                  </w:tcBorders>
                  <w:shd w:val="clear" w:color="auto" w:fill="CCCCCC"/>
                  <w:hideMark/>
                </w:tcPr>
                <w:p w:rsidR="00FB07A2" w:rsidRPr="00FB07A2" w:rsidRDefault="00FB07A2" w:rsidP="00FB07A2">
                  <w:pPr>
                    <w:bidi w:val="0"/>
                    <w:jc w:val="left"/>
                    <w:rPr>
                      <w:rFonts w:asciiTheme="majorBidi" w:hAnsiTheme="majorBidi" w:cstheme="majorBidi"/>
                      <w:sz w:val="28"/>
                      <w:szCs w:val="28"/>
                    </w:rPr>
                  </w:pPr>
                  <w:r w:rsidRPr="00FB07A2">
                    <w:rPr>
                      <w:rStyle w:val="Strong"/>
                      <w:rFonts w:asciiTheme="majorBidi" w:hAnsiTheme="majorBidi" w:cstheme="majorBidi"/>
                      <w:sz w:val="28"/>
                      <w:szCs w:val="28"/>
                    </w:rPr>
                    <w:t>Cost/Day</w:t>
                  </w:r>
                  <w:r w:rsidRPr="00FB07A2">
                    <w:rPr>
                      <w:rFonts w:asciiTheme="majorBidi" w:hAnsiTheme="majorBidi" w:cstheme="majorBidi"/>
                      <w:sz w:val="28"/>
                      <w:szCs w:val="28"/>
                    </w:rPr>
                    <w:t xml:space="preserve"> </w:t>
                  </w:r>
                </w:p>
              </w:tc>
            </w:tr>
            <w:tr w:rsidR="00FB07A2" w:rsidRPr="00FB07A2">
              <w:trPr>
                <w:tblCellSpacing w:w="0" w:type="dxa"/>
                <w:jc w:val="center"/>
              </w:trPr>
              <w:tc>
                <w:tcPr>
                  <w:tcW w:w="109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78</w:t>
                  </w:r>
                </w:p>
              </w:tc>
              <w:tc>
                <w:tcPr>
                  <w:tcW w:w="180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57</w:t>
                  </w:r>
                </w:p>
              </w:tc>
              <w:tc>
                <w:tcPr>
                  <w:tcW w:w="117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3.10</w:t>
                  </w:r>
                </w:p>
              </w:tc>
              <w:tc>
                <w:tcPr>
                  <w:tcW w:w="144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0.054</w:t>
                  </w:r>
                </w:p>
              </w:tc>
            </w:tr>
            <w:tr w:rsidR="00FB07A2" w:rsidRPr="00FB07A2">
              <w:trPr>
                <w:tblCellSpacing w:w="0" w:type="dxa"/>
                <w:jc w:val="center"/>
              </w:trPr>
              <w:tc>
                <w:tcPr>
                  <w:tcW w:w="109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78</w:t>
                  </w:r>
                </w:p>
              </w:tc>
              <w:tc>
                <w:tcPr>
                  <w:tcW w:w="180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157</w:t>
                  </w:r>
                </w:p>
              </w:tc>
              <w:tc>
                <w:tcPr>
                  <w:tcW w:w="117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4.85</w:t>
                  </w:r>
                </w:p>
              </w:tc>
              <w:tc>
                <w:tcPr>
                  <w:tcW w:w="144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0.031</w:t>
                  </w:r>
                </w:p>
              </w:tc>
            </w:tr>
            <w:tr w:rsidR="00FB07A2" w:rsidRPr="00FB07A2">
              <w:trPr>
                <w:tblCellSpacing w:w="0" w:type="dxa"/>
                <w:jc w:val="center"/>
              </w:trPr>
              <w:tc>
                <w:tcPr>
                  <w:tcW w:w="109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78</w:t>
                  </w:r>
                </w:p>
              </w:tc>
              <w:tc>
                <w:tcPr>
                  <w:tcW w:w="180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248</w:t>
                  </w:r>
                </w:p>
              </w:tc>
              <w:tc>
                <w:tcPr>
                  <w:tcW w:w="117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5.80</w:t>
                  </w:r>
                </w:p>
              </w:tc>
              <w:tc>
                <w:tcPr>
                  <w:tcW w:w="144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0.023</w:t>
                  </w:r>
                </w:p>
              </w:tc>
            </w:tr>
            <w:tr w:rsidR="00FB07A2" w:rsidRPr="00FB07A2">
              <w:trPr>
                <w:tblCellSpacing w:w="0" w:type="dxa"/>
                <w:jc w:val="center"/>
              </w:trPr>
              <w:tc>
                <w:tcPr>
                  <w:tcW w:w="1095"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78</w:t>
                  </w:r>
                </w:p>
              </w:tc>
              <w:tc>
                <w:tcPr>
                  <w:tcW w:w="180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540</w:t>
                  </w:r>
                </w:p>
              </w:tc>
              <w:tc>
                <w:tcPr>
                  <w:tcW w:w="117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8.00</w:t>
                  </w:r>
                </w:p>
              </w:tc>
              <w:tc>
                <w:tcPr>
                  <w:tcW w:w="1440" w:type="dxa"/>
                  <w:tcBorders>
                    <w:top w:val="outset" w:sz="6" w:space="0" w:color="999999"/>
                    <w:left w:val="outset" w:sz="6" w:space="0" w:color="999999"/>
                    <w:bottom w:val="outset" w:sz="6" w:space="0" w:color="999999"/>
                    <w:right w:val="outset" w:sz="6" w:space="0" w:color="999999"/>
                  </w:tcBorders>
                  <w:shd w:val="clear" w:color="auto" w:fill="FFFFFF"/>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0.015</w:t>
                  </w:r>
                </w:p>
              </w:tc>
            </w:tr>
          </w:tbl>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t>In the above example, the most expensive option for a long-term investor also provides him or her with the least expensive protection per day.</w:t>
            </w:r>
          </w:p>
        </w:tc>
      </w:tr>
    </w:tbl>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lastRenderedPageBreak/>
        <w:br/>
        <w:t xml:space="preserve">This also means that put options can be extended very cost effectively. If an investor has a six-month put option on a security with a certain strike price, it can be sold and replaced with a 12-month option at the same strike. This can be done over and over again. The practice is called </w:t>
      </w:r>
      <w:hyperlink r:id="rId34" w:history="1">
        <w:r w:rsidRPr="00FB07A2">
          <w:rPr>
            <w:rStyle w:val="Hyperlink"/>
            <w:rFonts w:asciiTheme="majorBidi" w:hAnsiTheme="majorBidi" w:cstheme="majorBidi"/>
            <w:sz w:val="28"/>
            <w:szCs w:val="28"/>
          </w:rPr>
          <w:t>rolling</w:t>
        </w:r>
      </w:hyperlink>
      <w:r w:rsidRPr="00FB07A2">
        <w:rPr>
          <w:rFonts w:asciiTheme="majorBidi" w:hAnsiTheme="majorBidi" w:cstheme="majorBidi"/>
          <w:sz w:val="28"/>
          <w:szCs w:val="28"/>
        </w:rPr>
        <w:t xml:space="preserve"> a put option forward.</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By rolling a put option forward and keeping the strike price close to, but still somewhat below, the market price, </w:t>
      </w:r>
      <w:proofErr w:type="gramStart"/>
      <w:r w:rsidRPr="00FB07A2">
        <w:rPr>
          <w:rFonts w:asciiTheme="majorBidi" w:hAnsiTheme="majorBidi" w:cstheme="majorBidi"/>
          <w:sz w:val="28"/>
          <w:szCs w:val="28"/>
        </w:rPr>
        <w:t>an</w:t>
      </w:r>
      <w:proofErr w:type="gramEnd"/>
      <w:r w:rsidRPr="00FB07A2">
        <w:rPr>
          <w:rFonts w:asciiTheme="majorBidi" w:hAnsiTheme="majorBidi" w:cstheme="majorBidi"/>
          <w:sz w:val="28"/>
          <w:szCs w:val="28"/>
        </w:rPr>
        <w:t xml:space="preserve"> investor can maintain a hedge for many years. This is very useful in conjunction with risky leveraged investments like index futures or </w:t>
      </w:r>
      <w:hyperlink r:id="rId35" w:history="1">
        <w:r w:rsidRPr="00FB07A2">
          <w:rPr>
            <w:rStyle w:val="Hyperlink"/>
            <w:rFonts w:asciiTheme="majorBidi" w:hAnsiTheme="majorBidi" w:cstheme="majorBidi"/>
            <w:sz w:val="28"/>
            <w:szCs w:val="28"/>
          </w:rPr>
          <w:t>synthetic</w:t>
        </w:r>
      </w:hyperlink>
      <w:r w:rsidRPr="00FB07A2">
        <w:rPr>
          <w:rFonts w:asciiTheme="majorBidi" w:hAnsiTheme="majorBidi" w:cstheme="majorBidi"/>
          <w:sz w:val="28"/>
          <w:szCs w:val="28"/>
        </w:rPr>
        <w:t xml:space="preserve"> stock positions.</w:t>
      </w:r>
      <w:r w:rsidRPr="00FB07A2">
        <w:rPr>
          <w:rFonts w:asciiTheme="majorBidi" w:hAnsiTheme="majorBidi" w:cstheme="majorBidi"/>
          <w:sz w:val="28"/>
          <w:szCs w:val="28"/>
        </w:rPr>
        <w:br/>
      </w:r>
      <w:r w:rsidRPr="00FB07A2">
        <w:rPr>
          <w:rFonts w:asciiTheme="majorBidi" w:hAnsiTheme="majorBidi" w:cstheme="majorBidi"/>
          <w:sz w:val="28"/>
          <w:szCs w:val="28"/>
        </w:rPr>
        <w:br/>
      </w:r>
      <w:r w:rsidRPr="00FB07A2">
        <w:rPr>
          <w:rStyle w:val="Strong"/>
          <w:rFonts w:asciiTheme="majorBidi" w:hAnsiTheme="majorBidi" w:cstheme="majorBidi"/>
          <w:sz w:val="28"/>
          <w:szCs w:val="28"/>
        </w:rPr>
        <w:t>Calendar Spreads</w:t>
      </w:r>
      <w:r w:rsidRPr="00FB07A2">
        <w:rPr>
          <w:rFonts w:asciiTheme="majorBidi" w:hAnsiTheme="majorBidi" w:cstheme="majorBidi"/>
          <w:sz w:val="28"/>
          <w:szCs w:val="28"/>
        </w:rPr>
        <w:t xml:space="preserve"> </w:t>
      </w:r>
      <w:r w:rsidRPr="00FB07A2">
        <w:rPr>
          <w:rFonts w:asciiTheme="majorBidi" w:hAnsiTheme="majorBidi" w:cstheme="majorBidi"/>
          <w:sz w:val="28"/>
          <w:szCs w:val="28"/>
        </w:rPr>
        <w:br/>
        <w:t xml:space="preserve">The diminishing cost of adding extra months to a put option also creates an opportunity to use </w:t>
      </w:r>
      <w:hyperlink r:id="rId36" w:history="1">
        <w:r w:rsidRPr="00FB07A2">
          <w:rPr>
            <w:rStyle w:val="Hyperlink"/>
            <w:rFonts w:asciiTheme="majorBidi" w:hAnsiTheme="majorBidi" w:cstheme="majorBidi"/>
            <w:sz w:val="28"/>
            <w:szCs w:val="28"/>
          </w:rPr>
          <w:t>calendar spreads</w:t>
        </w:r>
      </w:hyperlink>
      <w:r w:rsidRPr="00FB07A2">
        <w:rPr>
          <w:rFonts w:asciiTheme="majorBidi" w:hAnsiTheme="majorBidi" w:cstheme="majorBidi"/>
          <w:sz w:val="28"/>
          <w:szCs w:val="28"/>
        </w:rPr>
        <w:t xml:space="preserve"> to put a cheap hedge in place at a future date. Calendar spreads are created by purchasing a long-term put option and selling a shorter-term put option at the same strike price.</w:t>
      </w:r>
    </w:p>
    <w:tbl>
      <w:tblPr>
        <w:tblW w:w="0" w:type="auto"/>
        <w:jc w:val="center"/>
        <w:tblCellSpacing w:w="0" w:type="dxa"/>
        <w:tblCellMar>
          <w:top w:w="150" w:type="dxa"/>
          <w:left w:w="150" w:type="dxa"/>
          <w:bottom w:w="150" w:type="dxa"/>
          <w:right w:w="150" w:type="dxa"/>
        </w:tblCellMar>
        <w:tblLook w:val="04A0"/>
      </w:tblPr>
      <w:tblGrid>
        <w:gridCol w:w="9370"/>
      </w:tblGrid>
      <w:tr w:rsidR="00FB07A2" w:rsidRPr="00FB07A2" w:rsidTr="00FB07A2">
        <w:trPr>
          <w:tblCellSpacing w:w="0" w:type="dxa"/>
          <w:jc w:val="center"/>
        </w:trPr>
        <w:tc>
          <w:tcPr>
            <w:tcW w:w="0" w:type="auto"/>
            <w:vAlign w:val="center"/>
            <w:hideMark/>
          </w:tcPr>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br/>
            </w:r>
            <w:r w:rsidRPr="00FB07A2">
              <w:rPr>
                <w:rStyle w:val="Emphasis"/>
                <w:rFonts w:asciiTheme="majorBidi" w:hAnsiTheme="majorBidi" w:cstheme="majorBidi"/>
                <w:b/>
                <w:bCs/>
                <w:sz w:val="28"/>
                <w:szCs w:val="28"/>
              </w:rPr>
              <w:t>Example - Using Calendar Spread</w:t>
            </w:r>
          </w:p>
          <w:p w:rsidR="00FB07A2" w:rsidRPr="00FB07A2" w:rsidRDefault="00FB07A2" w:rsidP="00FB07A2">
            <w:pPr>
              <w:numPr>
                <w:ilvl w:val="0"/>
                <w:numId w:val="5"/>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Purchase 100 shares of </w:t>
            </w:r>
            <w:hyperlink r:id="rId37" w:history="1">
              <w:r w:rsidRPr="00FB07A2">
                <w:rPr>
                  <w:rStyle w:val="Hyperlink"/>
                  <w:rFonts w:asciiTheme="majorBidi" w:hAnsiTheme="majorBidi" w:cstheme="majorBidi"/>
                  <w:sz w:val="28"/>
                  <w:szCs w:val="28"/>
                </w:rPr>
                <w:t>INTC</w:t>
              </w:r>
            </w:hyperlink>
            <w:r w:rsidRPr="00FB07A2">
              <w:rPr>
                <w:rFonts w:asciiTheme="majorBidi" w:hAnsiTheme="majorBidi" w:cstheme="majorBidi"/>
                <w:sz w:val="28"/>
                <w:szCs w:val="28"/>
              </w:rPr>
              <w:t xml:space="preserve"> on margin @ $24.50 </w:t>
            </w:r>
          </w:p>
          <w:p w:rsidR="00FB07A2" w:rsidRPr="00FB07A2" w:rsidRDefault="00FB07A2" w:rsidP="00FB07A2">
            <w:pPr>
              <w:numPr>
                <w:ilvl w:val="0"/>
                <w:numId w:val="5"/>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t xml:space="preserve">Sell one put option contract (100 shares) @ 25 expiring in 180 days for $1.90 </w:t>
            </w:r>
          </w:p>
          <w:p w:rsidR="00FB07A2" w:rsidRPr="00FB07A2" w:rsidRDefault="00FB07A2" w:rsidP="00FB07A2">
            <w:pPr>
              <w:numPr>
                <w:ilvl w:val="0"/>
                <w:numId w:val="5"/>
              </w:numPr>
              <w:bidi w:val="0"/>
              <w:spacing w:before="100" w:beforeAutospacing="1" w:after="100" w:afterAutospacing="1" w:line="240" w:lineRule="auto"/>
              <w:jc w:val="left"/>
              <w:rPr>
                <w:rFonts w:asciiTheme="majorBidi" w:hAnsiTheme="majorBidi" w:cstheme="majorBidi"/>
                <w:sz w:val="28"/>
                <w:szCs w:val="28"/>
              </w:rPr>
            </w:pPr>
            <w:r w:rsidRPr="00FB07A2">
              <w:rPr>
                <w:rFonts w:asciiTheme="majorBidi" w:hAnsiTheme="majorBidi" w:cstheme="majorBidi"/>
                <w:sz w:val="28"/>
                <w:szCs w:val="28"/>
              </w:rPr>
              <w:lastRenderedPageBreak/>
              <w:t xml:space="preserve">Buy one put option contract (100 shares) @ 25 expiring in 540 days for $3.20 </w:t>
            </w:r>
          </w:p>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t>In this example, the investor is hoping that Intel\'s stock price will appreciate, and that the short put option will expire worthless in 180 days, leaving the long put option in place as a hedge for the next 360 days.</w:t>
            </w:r>
          </w:p>
        </w:tc>
      </w:tr>
    </w:tbl>
    <w:p w:rsidR="00FB07A2" w:rsidRPr="00FB07A2" w:rsidRDefault="00FB07A2" w:rsidP="00FB07A2">
      <w:pPr>
        <w:bidi w:val="0"/>
        <w:jc w:val="left"/>
        <w:rPr>
          <w:rFonts w:asciiTheme="majorBidi" w:hAnsiTheme="majorBidi" w:cstheme="majorBidi"/>
          <w:sz w:val="28"/>
          <w:szCs w:val="28"/>
        </w:rPr>
      </w:pPr>
      <w:r w:rsidRPr="00FB07A2">
        <w:rPr>
          <w:rFonts w:asciiTheme="majorBidi" w:hAnsiTheme="majorBidi" w:cstheme="majorBidi"/>
          <w:sz w:val="28"/>
          <w:szCs w:val="28"/>
        </w:rPr>
        <w:lastRenderedPageBreak/>
        <w:br/>
        <w:t xml:space="preserve">The danger is that the investor's downside risk is unchanged for the moment, and if the stock price declines significantly in the next few months, the investor may face some difficult decisions. Should he or she exercise the long put and lose its remaining time value? Or should the investor buy back the </w:t>
      </w:r>
      <w:proofErr w:type="spellStart"/>
      <w:r w:rsidRPr="00FB07A2">
        <w:rPr>
          <w:rFonts w:asciiTheme="majorBidi" w:hAnsiTheme="majorBidi" w:cstheme="majorBidi"/>
          <w:sz w:val="28"/>
          <w:szCs w:val="28"/>
        </w:rPr>
        <w:t>short</w:t>
      </w:r>
      <w:proofErr w:type="spellEnd"/>
      <w:r w:rsidRPr="00FB07A2">
        <w:rPr>
          <w:rFonts w:asciiTheme="majorBidi" w:hAnsiTheme="majorBidi" w:cstheme="majorBidi"/>
          <w:sz w:val="28"/>
          <w:szCs w:val="28"/>
        </w:rPr>
        <w:t xml:space="preserve"> put and risk tying up even more money in a losing position?</w:t>
      </w:r>
      <w:r w:rsidRPr="00FB07A2">
        <w:rPr>
          <w:rFonts w:asciiTheme="majorBidi" w:hAnsiTheme="majorBidi" w:cstheme="majorBidi"/>
          <w:sz w:val="28"/>
          <w:szCs w:val="28"/>
        </w:rPr>
        <w:br/>
      </w:r>
      <w:r w:rsidRPr="00FB07A2">
        <w:rPr>
          <w:rFonts w:asciiTheme="majorBidi" w:hAnsiTheme="majorBidi" w:cstheme="majorBidi"/>
          <w:sz w:val="28"/>
          <w:szCs w:val="28"/>
        </w:rPr>
        <w:br/>
        <w:t>In favorable circumstances, a calendar put spread can result in a cheap long-term hedge that can then be rolled forward indefinitely. However, investors need to think through the scenarios very carefully to ensure that they don't inadvertently introduce new risks into their investment portfolios.</w:t>
      </w:r>
      <w:r w:rsidRPr="00FB07A2">
        <w:rPr>
          <w:rFonts w:asciiTheme="majorBidi" w:hAnsiTheme="majorBidi" w:cstheme="majorBidi"/>
          <w:sz w:val="28"/>
          <w:szCs w:val="28"/>
        </w:rPr>
        <w:br/>
      </w:r>
      <w:r w:rsidRPr="00FB07A2">
        <w:rPr>
          <w:rFonts w:asciiTheme="majorBidi" w:hAnsiTheme="majorBidi" w:cstheme="majorBidi"/>
          <w:sz w:val="28"/>
          <w:szCs w:val="28"/>
        </w:rPr>
        <w:br/>
      </w:r>
      <w:r w:rsidRPr="00FB07A2">
        <w:rPr>
          <w:rStyle w:val="Strong"/>
          <w:rFonts w:asciiTheme="majorBidi" w:hAnsiTheme="majorBidi" w:cstheme="majorBidi"/>
          <w:sz w:val="28"/>
          <w:szCs w:val="28"/>
        </w:rPr>
        <w:t>The Bottom Line</w:t>
      </w:r>
      <w:r w:rsidRPr="00FB07A2">
        <w:rPr>
          <w:rFonts w:asciiTheme="majorBidi" w:hAnsiTheme="majorBidi" w:cstheme="majorBidi"/>
          <w:b/>
          <w:bCs/>
          <w:sz w:val="28"/>
          <w:szCs w:val="28"/>
        </w:rPr>
        <w:br/>
      </w:r>
      <w:r w:rsidRPr="00FB07A2">
        <w:rPr>
          <w:rFonts w:asciiTheme="majorBidi" w:hAnsiTheme="majorBidi" w:cstheme="majorBidi"/>
          <w:sz w:val="28"/>
          <w:szCs w:val="28"/>
        </w:rPr>
        <w:t>Hedging can be viewed as the transfer of unacceptable risk from a portfolio manager to an insurer. This makes the process a two-step approach. First, determine what level of risk is acceptable. Then, identify the transactions that can cost effectively transfer this risk.</w:t>
      </w:r>
      <w:r w:rsidRPr="00FB07A2">
        <w:rPr>
          <w:rFonts w:asciiTheme="majorBidi" w:hAnsiTheme="majorBidi" w:cstheme="majorBidi"/>
          <w:sz w:val="28"/>
          <w:szCs w:val="28"/>
        </w:rPr>
        <w:br/>
      </w:r>
      <w:r w:rsidRPr="00FB07A2">
        <w:rPr>
          <w:rFonts w:asciiTheme="majorBidi" w:hAnsiTheme="majorBidi" w:cstheme="majorBidi"/>
          <w:sz w:val="28"/>
          <w:szCs w:val="28"/>
        </w:rPr>
        <w:br/>
        <w:t>As a rule, longer term put options with a lower strike price provide the best hedging value. They are initially expensive, but their cost per market day can be very low, which makes them useful for long-term investments. These long-term put options can be rolled forward to later expiries and higher strike prices, ensuring that an appropriate hedge is always in place.</w:t>
      </w:r>
      <w:r w:rsidRPr="00FB07A2">
        <w:rPr>
          <w:rFonts w:asciiTheme="majorBidi" w:hAnsiTheme="majorBidi" w:cstheme="majorBidi"/>
          <w:sz w:val="28"/>
          <w:szCs w:val="28"/>
        </w:rPr>
        <w:br/>
      </w:r>
      <w:r w:rsidRPr="00FB07A2">
        <w:rPr>
          <w:rFonts w:asciiTheme="majorBidi" w:hAnsiTheme="majorBidi" w:cstheme="majorBidi"/>
          <w:sz w:val="28"/>
          <w:szCs w:val="28"/>
        </w:rPr>
        <w:br/>
        <w:t>Some investments are much easier to hedge than others. Usually, investments such as broad indexes are much cheaper to hedge than individual stocks. Lower volatility makes the put options less expensive, and a high liquidity makes spread transactions possible.</w:t>
      </w:r>
      <w:r w:rsidRPr="00FB07A2">
        <w:rPr>
          <w:rFonts w:asciiTheme="majorBidi" w:hAnsiTheme="majorBidi" w:cstheme="majorBidi"/>
          <w:sz w:val="28"/>
          <w:szCs w:val="28"/>
        </w:rPr>
        <w:br/>
      </w:r>
      <w:r w:rsidRPr="00FB07A2">
        <w:rPr>
          <w:rFonts w:asciiTheme="majorBidi" w:hAnsiTheme="majorBidi" w:cstheme="majorBidi"/>
          <w:sz w:val="28"/>
          <w:szCs w:val="28"/>
        </w:rPr>
        <w:br/>
        <w:t xml:space="preserve">But while hedging can help eliminate the risk of a sudden price decline, it does nothing to prevent long-term </w:t>
      </w:r>
      <w:hyperlink r:id="rId38" w:history="1">
        <w:r w:rsidRPr="00FB07A2">
          <w:rPr>
            <w:rStyle w:val="Hyperlink"/>
            <w:rFonts w:asciiTheme="majorBidi" w:hAnsiTheme="majorBidi" w:cstheme="majorBidi"/>
            <w:sz w:val="28"/>
            <w:szCs w:val="28"/>
          </w:rPr>
          <w:t>underperformance</w:t>
        </w:r>
      </w:hyperlink>
      <w:r w:rsidRPr="00FB07A2">
        <w:rPr>
          <w:rFonts w:asciiTheme="majorBidi" w:hAnsiTheme="majorBidi" w:cstheme="majorBidi"/>
          <w:sz w:val="28"/>
          <w:szCs w:val="28"/>
        </w:rPr>
        <w:t xml:space="preserve">. It should be considered a </w:t>
      </w:r>
      <w:r w:rsidRPr="00FB07A2">
        <w:rPr>
          <w:rFonts w:asciiTheme="majorBidi" w:hAnsiTheme="majorBidi" w:cstheme="majorBidi"/>
          <w:sz w:val="28"/>
          <w:szCs w:val="28"/>
        </w:rPr>
        <w:lastRenderedPageBreak/>
        <w:t xml:space="preserve">complement, rather than a substitute, to other portfolio management techniques such as </w:t>
      </w:r>
      <w:hyperlink r:id="rId39" w:history="1">
        <w:r w:rsidRPr="00FB07A2">
          <w:rPr>
            <w:rStyle w:val="Hyperlink"/>
            <w:rFonts w:asciiTheme="majorBidi" w:hAnsiTheme="majorBidi" w:cstheme="majorBidi"/>
            <w:sz w:val="28"/>
            <w:szCs w:val="28"/>
          </w:rPr>
          <w:t>diversification</w:t>
        </w:r>
      </w:hyperlink>
      <w:r w:rsidRPr="00FB07A2">
        <w:rPr>
          <w:rFonts w:asciiTheme="majorBidi" w:hAnsiTheme="majorBidi" w:cstheme="majorBidi"/>
          <w:sz w:val="28"/>
          <w:szCs w:val="28"/>
        </w:rPr>
        <w:t xml:space="preserve">, rebalancing and disciplined security analysis and selection. </w:t>
      </w:r>
    </w:p>
    <w:p w:rsidR="00802A41" w:rsidRPr="00FB07A2" w:rsidRDefault="00802A41" w:rsidP="00FB07A2">
      <w:pPr>
        <w:bidi w:val="0"/>
        <w:jc w:val="left"/>
        <w:rPr>
          <w:rFonts w:asciiTheme="majorBidi" w:hAnsiTheme="majorBidi" w:cstheme="majorBidi"/>
          <w:sz w:val="28"/>
          <w:szCs w:val="28"/>
        </w:rPr>
      </w:pPr>
    </w:p>
    <w:sectPr w:rsidR="00802A41" w:rsidRPr="00FB07A2" w:rsidSect="000A145B">
      <w:pgSz w:w="11906" w:h="16838" w:code="9"/>
      <w:pgMar w:top="1418" w:right="1418" w:bottom="1418" w:left="1418"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D6B1F"/>
    <w:multiLevelType w:val="multilevel"/>
    <w:tmpl w:val="9AA06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641B1D"/>
    <w:multiLevelType w:val="multilevel"/>
    <w:tmpl w:val="B2A6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B805E5E"/>
    <w:multiLevelType w:val="multilevel"/>
    <w:tmpl w:val="0C8CD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EFC1C11"/>
    <w:multiLevelType w:val="multilevel"/>
    <w:tmpl w:val="CD56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55A77FB"/>
    <w:multiLevelType w:val="multilevel"/>
    <w:tmpl w:val="5278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rsids>
    <w:rsidRoot w:val="00FB07A2"/>
    <w:rsid w:val="000A145B"/>
    <w:rsid w:val="00377C62"/>
    <w:rsid w:val="003F189B"/>
    <w:rsid w:val="004710F8"/>
    <w:rsid w:val="004C104A"/>
    <w:rsid w:val="00615A18"/>
    <w:rsid w:val="00802A41"/>
    <w:rsid w:val="00892BAB"/>
    <w:rsid w:val="00971CB9"/>
    <w:rsid w:val="00EC7532"/>
    <w:rsid w:val="00F245C4"/>
    <w:rsid w:val="00FB07A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A41"/>
    <w:pPr>
      <w:bidi/>
    </w:pPr>
  </w:style>
  <w:style w:type="paragraph" w:styleId="Heading1">
    <w:name w:val="heading 1"/>
    <w:basedOn w:val="Normal"/>
    <w:link w:val="Heading1Char"/>
    <w:uiPriority w:val="9"/>
    <w:qFormat/>
    <w:rsid w:val="00FB07A2"/>
    <w:pPr>
      <w:bidi w:val="0"/>
      <w:spacing w:before="100" w:beforeAutospacing="1" w:after="100" w:afterAutospacing="1" w:line="240" w:lineRule="auto"/>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7A2"/>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B07A2"/>
    <w:rPr>
      <w:color w:val="0000FF"/>
      <w:u w:val="single"/>
    </w:rPr>
  </w:style>
  <w:style w:type="character" w:customStyle="1" w:styleId="small">
    <w:name w:val="small"/>
    <w:basedOn w:val="DefaultParagraphFont"/>
    <w:rsid w:val="00FB07A2"/>
  </w:style>
  <w:style w:type="character" w:customStyle="1" w:styleId="medium">
    <w:name w:val="medium"/>
    <w:basedOn w:val="DefaultParagraphFont"/>
    <w:rsid w:val="00FB07A2"/>
  </w:style>
  <w:style w:type="character" w:customStyle="1" w:styleId="large">
    <w:name w:val="large"/>
    <w:basedOn w:val="DefaultParagraphFont"/>
    <w:rsid w:val="00FB07A2"/>
  </w:style>
  <w:style w:type="character" w:styleId="Strong">
    <w:name w:val="Strong"/>
    <w:basedOn w:val="DefaultParagraphFont"/>
    <w:uiPriority w:val="22"/>
    <w:qFormat/>
    <w:rsid w:val="00FB07A2"/>
    <w:rPr>
      <w:b/>
      <w:bCs/>
    </w:rPr>
  </w:style>
  <w:style w:type="character" w:styleId="Emphasis">
    <w:name w:val="Emphasis"/>
    <w:basedOn w:val="DefaultParagraphFont"/>
    <w:uiPriority w:val="20"/>
    <w:qFormat/>
    <w:rsid w:val="00FB07A2"/>
    <w:rPr>
      <w:i/>
      <w:iCs/>
    </w:rPr>
  </w:style>
</w:styles>
</file>

<file path=word/webSettings.xml><?xml version="1.0" encoding="utf-8"?>
<w:webSettings xmlns:r="http://schemas.openxmlformats.org/officeDocument/2006/relationships" xmlns:w="http://schemas.openxmlformats.org/wordprocessingml/2006/main">
  <w:divs>
    <w:div w:id="1900439350">
      <w:bodyDiv w:val="1"/>
      <w:marLeft w:val="0"/>
      <w:marRight w:val="0"/>
      <w:marTop w:val="0"/>
      <w:marBottom w:val="0"/>
      <w:divBdr>
        <w:top w:val="none" w:sz="0" w:space="0" w:color="auto"/>
        <w:left w:val="none" w:sz="0" w:space="0" w:color="auto"/>
        <w:bottom w:val="none" w:sz="0" w:space="0" w:color="auto"/>
        <w:right w:val="none" w:sz="0" w:space="0" w:color="auto"/>
      </w:divBdr>
      <w:divsChild>
        <w:div w:id="442963365">
          <w:marLeft w:val="0"/>
          <w:marRight w:val="0"/>
          <w:marTop w:val="0"/>
          <w:marBottom w:val="0"/>
          <w:divBdr>
            <w:top w:val="none" w:sz="0" w:space="0" w:color="auto"/>
            <w:left w:val="none" w:sz="0" w:space="0" w:color="auto"/>
            <w:bottom w:val="none" w:sz="0" w:space="0" w:color="auto"/>
            <w:right w:val="none" w:sz="0" w:space="0" w:color="auto"/>
          </w:divBdr>
          <w:divsChild>
            <w:div w:id="1145664167">
              <w:marLeft w:val="0"/>
              <w:marRight w:val="0"/>
              <w:marTop w:val="0"/>
              <w:marBottom w:val="0"/>
              <w:divBdr>
                <w:top w:val="none" w:sz="0" w:space="0" w:color="auto"/>
                <w:left w:val="none" w:sz="0" w:space="0" w:color="auto"/>
                <w:bottom w:val="none" w:sz="0" w:space="0" w:color="auto"/>
                <w:right w:val="none" w:sz="0" w:space="0" w:color="auto"/>
              </w:divBdr>
              <w:divsChild>
                <w:div w:id="137704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672808">
          <w:marLeft w:val="0"/>
          <w:marRight w:val="0"/>
          <w:marTop w:val="0"/>
          <w:marBottom w:val="0"/>
          <w:divBdr>
            <w:top w:val="none" w:sz="0" w:space="0" w:color="auto"/>
            <w:left w:val="none" w:sz="0" w:space="0" w:color="auto"/>
            <w:bottom w:val="none" w:sz="0" w:space="0" w:color="auto"/>
            <w:right w:val="none" w:sz="0" w:space="0" w:color="auto"/>
          </w:divBdr>
        </w:div>
        <w:div w:id="1567178552">
          <w:marLeft w:val="0"/>
          <w:marRight w:val="0"/>
          <w:marTop w:val="0"/>
          <w:marBottom w:val="0"/>
          <w:divBdr>
            <w:top w:val="none" w:sz="0" w:space="0" w:color="auto"/>
            <w:left w:val="none" w:sz="0" w:space="0" w:color="auto"/>
            <w:bottom w:val="none" w:sz="0" w:space="0" w:color="auto"/>
            <w:right w:val="none" w:sz="0" w:space="0" w:color="auto"/>
          </w:divBdr>
          <w:divsChild>
            <w:div w:id="60251488">
              <w:marLeft w:val="0"/>
              <w:marRight w:val="0"/>
              <w:marTop w:val="0"/>
              <w:marBottom w:val="0"/>
              <w:divBdr>
                <w:top w:val="none" w:sz="0" w:space="0" w:color="auto"/>
                <w:left w:val="none" w:sz="0" w:space="0" w:color="auto"/>
                <w:bottom w:val="none" w:sz="0" w:space="0" w:color="auto"/>
                <w:right w:val="none" w:sz="0" w:space="0" w:color="auto"/>
              </w:divBdr>
              <w:divsChild>
                <w:div w:id="182624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vestopedia.com/tags/futures/" TargetMode="External"/><Relationship Id="rId13" Type="http://schemas.openxmlformats.org/officeDocument/2006/relationships/hyperlink" Target="http://www.investopedia.com/terms/h/hedge.asp" TargetMode="External"/><Relationship Id="rId18" Type="http://schemas.openxmlformats.org/officeDocument/2006/relationships/hyperlink" Target="http://www.investopedia.com/terms/d/downsiderisk.asp" TargetMode="External"/><Relationship Id="rId26" Type="http://schemas.openxmlformats.org/officeDocument/2006/relationships/hyperlink" Target="http://www.investopedia.com/terms/t/timedecay.asp" TargetMode="External"/><Relationship Id="rId39" Type="http://schemas.openxmlformats.org/officeDocument/2006/relationships/hyperlink" Target="http://www.investopedia.com/terms/d/diversification.asp" TargetMode="External"/><Relationship Id="rId3" Type="http://schemas.openxmlformats.org/officeDocument/2006/relationships/settings" Target="settings.xml"/><Relationship Id="rId21" Type="http://schemas.openxmlformats.org/officeDocument/2006/relationships/hyperlink" Target="http://www.investopedia.com/terms/r/russell2000.asp" TargetMode="External"/><Relationship Id="rId34" Type="http://schemas.openxmlformats.org/officeDocument/2006/relationships/hyperlink" Target="http://www.investopedia.com/terms/r/rollforward.asp" TargetMode="External"/><Relationship Id="rId7" Type="http://schemas.openxmlformats.org/officeDocument/2006/relationships/hyperlink" Target="http://www.investopedia.com/tags/etfs/" TargetMode="External"/><Relationship Id="rId12" Type="http://schemas.openxmlformats.org/officeDocument/2006/relationships/hyperlink" Target="http://www.investopedia.com/tags/portfolio_management/" TargetMode="External"/><Relationship Id="rId17" Type="http://schemas.openxmlformats.org/officeDocument/2006/relationships/hyperlink" Target="http://www.investopedia.com/articles/basics/03/080103.asp" TargetMode="External"/><Relationship Id="rId25" Type="http://schemas.openxmlformats.org/officeDocument/2006/relationships/hyperlink" Target="http://www.investopedia.com/terms/i/iv.asp" TargetMode="External"/><Relationship Id="rId33" Type="http://schemas.openxmlformats.org/officeDocument/2006/relationships/hyperlink" Target="http://www.investopedia.com/terms/m/marginalcostofproduction.asp" TargetMode="External"/><Relationship Id="rId38" Type="http://schemas.openxmlformats.org/officeDocument/2006/relationships/hyperlink" Target="http://www.investopedia.com/terms/u/underperform.asp" TargetMode="External"/><Relationship Id="rId2" Type="http://schemas.openxmlformats.org/officeDocument/2006/relationships/styles" Target="styles.xml"/><Relationship Id="rId16" Type="http://schemas.openxmlformats.org/officeDocument/2006/relationships/hyperlink" Target="http://www.investopedia.com/terms/p/pensionfund.asp" TargetMode="External"/><Relationship Id="rId20" Type="http://schemas.openxmlformats.org/officeDocument/2006/relationships/hyperlink" Target="http://www.investopedia.com/terms/s/small-cap.asp" TargetMode="External"/><Relationship Id="rId29" Type="http://schemas.openxmlformats.org/officeDocument/2006/relationships/hyperlink" Target="http://www.investopedia.com/terms/b/bearputspread.as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nvestopedia.com/articles/optioninvestor/07/affordable-hedging.asp" TargetMode="External"/><Relationship Id="rId11" Type="http://schemas.openxmlformats.org/officeDocument/2006/relationships/hyperlink" Target="http://www.investopedia.com/tags/options/" TargetMode="External"/><Relationship Id="rId24" Type="http://schemas.openxmlformats.org/officeDocument/2006/relationships/hyperlink" Target="http://www.investopedia.com/university/options/" TargetMode="External"/><Relationship Id="rId32" Type="http://schemas.openxmlformats.org/officeDocument/2006/relationships/hyperlink" Target="http://www.investopedia.com/terms/b/bid-askspread.asp" TargetMode="External"/><Relationship Id="rId37" Type="http://schemas.openxmlformats.org/officeDocument/2006/relationships/hyperlink" Target="http://research.investopedia.com/q.aspx?s=INTC" TargetMode="External"/><Relationship Id="rId40" Type="http://schemas.openxmlformats.org/officeDocument/2006/relationships/fontTable" Target="fontTable.xml"/><Relationship Id="rId5" Type="http://schemas.openxmlformats.org/officeDocument/2006/relationships/hyperlink" Target="http://www.investopedia.com/contributors/175" TargetMode="External"/><Relationship Id="rId15" Type="http://schemas.openxmlformats.org/officeDocument/2006/relationships/hyperlink" Target="http://www.investopedia.com/terms/r/repayment.asp" TargetMode="External"/><Relationship Id="rId23" Type="http://schemas.openxmlformats.org/officeDocument/2006/relationships/hyperlink" Target="http://www.investopedia.com/terms/e/etf.asp" TargetMode="External"/><Relationship Id="rId28" Type="http://schemas.openxmlformats.org/officeDocument/2006/relationships/hyperlink" Target="http://www.investopedia.com/articles/optioninvestor/05/012605.asp" TargetMode="External"/><Relationship Id="rId36" Type="http://schemas.openxmlformats.org/officeDocument/2006/relationships/hyperlink" Target="http://www.investopedia.com/terms/c/calendarspread.asp" TargetMode="External"/><Relationship Id="rId10" Type="http://schemas.openxmlformats.org/officeDocument/2006/relationships/hyperlink" Target="http://www.investopedia.com/tags/option_strategy/" TargetMode="External"/><Relationship Id="rId19" Type="http://schemas.openxmlformats.org/officeDocument/2006/relationships/hyperlink" Target="http://www.investopedia.com/terms/v/volatility.asp" TargetMode="External"/><Relationship Id="rId31" Type="http://schemas.openxmlformats.org/officeDocument/2006/relationships/hyperlink" Target="http://research.investopedia.com/q.aspx?s=iwm" TargetMode="External"/><Relationship Id="rId4" Type="http://schemas.openxmlformats.org/officeDocument/2006/relationships/webSettings" Target="webSettings.xml"/><Relationship Id="rId9" Type="http://schemas.openxmlformats.org/officeDocument/2006/relationships/hyperlink" Target="http://www.investopedia.com/tags/hedging/" TargetMode="External"/><Relationship Id="rId14" Type="http://schemas.openxmlformats.org/officeDocument/2006/relationships/hyperlink" Target="http://www.investopedia.com/terms/p/putoption.asp" TargetMode="External"/><Relationship Id="rId22" Type="http://schemas.openxmlformats.org/officeDocument/2006/relationships/hyperlink" Target="http://www.investopedia.com/terms/s/strikeprice.asp" TargetMode="External"/><Relationship Id="rId27" Type="http://schemas.openxmlformats.org/officeDocument/2006/relationships/hyperlink" Target="http://www.investopedia.com/articles/optioninvestor/02/021302.asp" TargetMode="External"/><Relationship Id="rId30" Type="http://schemas.openxmlformats.org/officeDocument/2006/relationships/hyperlink" Target="http://www.investopedia.com/university/optionspreadstrategies/" TargetMode="External"/><Relationship Id="rId35" Type="http://schemas.openxmlformats.org/officeDocument/2006/relationships/hyperlink" Target="http://www.investopedia.com/terms/s/synthetic.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1979</Words>
  <Characters>11286</Characters>
  <Application>Microsoft Office Word</Application>
  <DocSecurity>0</DocSecurity>
  <Lines>94</Lines>
  <Paragraphs>26</Paragraphs>
  <ScaleCrop>false</ScaleCrop>
  <Company>PARANDCO</Company>
  <LinksUpToDate>false</LinksUpToDate>
  <CharactersWithSpaces>13239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PARAND</cp:lastModifiedBy>
  <cp:revision>1</cp:revision>
  <dcterms:created xsi:type="dcterms:W3CDTF">2013-12-09T12:35:00Z</dcterms:created>
  <dcterms:modified xsi:type="dcterms:W3CDTF">2013-12-09T12:36:00Z</dcterms:modified>
</cp:coreProperties>
</file>